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200"/>
      </w:pPr>
      <w:r>
        <w:rPr>
          <w:b/>
          <w:bCs/>
          <w:color w:val="0E5F55"/>
          <w:spacing w:val="60"/>
          <w:sz w:val="18"/>
          <w:szCs w:val="18"/>
        </w:rPr>
        <w:t xml:space="preserve">EUROPEAN INNOVATION COUNCIL  ·  HORIZON EUROPE</w:t>
      </w:r>
    </w:p>
    <w:p>
      <w:pPr>
        <w:spacing w:after="200"/>
      </w:pPr>
      <w:r>
        <w:rPr>
          <w:color w:val="555555"/>
          <w:sz w:val="20"/>
          <w:szCs w:val="20"/>
        </w:rPr>
        <w:t xml:space="preserve">Proposal Part B — Technical Description (Draft v1.0)</w:t>
      </w:r>
    </w:p>
    <w:p>
      <w:pPr>
        <w:spacing w:after="120"/>
      </w:pPr>
      <w:r>
        <w:rPr>
          <w:b/>
          <w:bCs/>
          <w:sz w:val="52"/>
          <w:szCs w:val="52"/>
        </w:rPr>
        <w:t xml:space="preserve">THE MISSING VITAL SIGN</w:t>
      </w:r>
    </w:p>
    <w:p>
      <w:pPr>
        <w:pBdr>
          <w:bottom w:val="single" w:color="0E5F55" w:sz="6" w:space="6"/>
        </w:pBdr>
        <w:spacing w:after="300"/>
      </w:pPr>
      <w:r>
        <w:rPr>
          <w:color w:val="333333"/>
          <w:sz w:val="28"/>
          <w:szCs w:val="28"/>
        </w:rPr>
        <w:t xml:space="preserve">Continuous, clinically-governed VO₂ max as the control signal for cardiometabolic disease</w:t>
      </w:r>
    </w:p>
    <w:p>
      <w:pPr>
        <w:spacing w:after="140" w:line="276"/>
      </w:pPr>
      <w:r>
        <w:rPr>
          <w:sz w:val="20"/>
          <w:szCs w:val="20"/>
        </w:rPr>
        <w:t xml:space="preserve">Acronym: MVS-CARDIO   ·   Proposed instrument: EIC Pathfinder Open (with EIC Transition / Accelerator follow-on pathway)</w:t>
      </w:r>
    </w:p>
    <w:p>
      <w:pPr>
        <w:spacing w:after="300" w:line="276"/>
      </w:pPr>
      <w:r>
        <w:rPr>
          <w:sz w:val="20"/>
          <w:szCs w:val="20"/>
        </w:rPr>
        <w:t xml:space="preserve">Duration: 36 months  ·  EU contribution requested: €3.85M — consortium-agreed planning envelope (see §3.7); per-partner signed cost tables tracked in Annex C.</w:t>
      </w:r>
    </w:p>
    <w:p>
      <w:pPr>
        <w:spacing w:after="100" w:line="276"/>
      </w:pPr>
      <w:r>
        <w:rPr>
          <w:b/>
          <w:bCs/>
          <w:color w:val="0E5F55"/>
          <w:sz w:val="18"/>
          <w:szCs w:val="18"/>
        </w:rPr>
        <w:t xml:space="preserve">CONSORTIUM</w:t>
      </w:r>
    </w:p>
    <w:p>
      <w:pPr>
        <w:spacing w:after="60" w:line="276"/>
      </w:pPr>
      <w:r>
        <w:rPr>
          <w:sz w:val="20"/>
          <w:szCs w:val="20"/>
        </w:rPr>
        <w:t xml:space="preserve">AeroGlyphics — Coordinator. VO₂ max estimation, state-space signal fusion, clinical evidence surface.  aeroglyphics.dev</w:t>
      </w:r>
    </w:p>
    <w:p>
      <w:pPr>
        <w:spacing w:after="60" w:line="276"/>
      </w:pPr>
      <w:r>
        <w:rPr>
          <w:sz w:val="20"/>
          <w:szCs w:val="20"/>
        </w:rPr>
        <w:t xml:space="preserve">Medome — AI health tracking and the complete longitudinal health record; patient-side data spine.  medome.ai</w:t>
      </w:r>
    </w:p>
    <w:p>
      <w:pPr>
        <w:spacing w:after="60" w:line="276"/>
      </w:pPr>
      <w:r>
        <w:rPr>
          <w:sz w:val="20"/>
          <w:szCs w:val="20"/>
        </w:rPr>
        <w:t xml:space="preserve">SOAP Health — Conversational and generative AI for clinical intake, risk/symptom assessment and documentation; clinician-side deployment surface.  soap.health</w:t>
      </w:r>
    </w:p>
    <w:p>
      <w:pPr>
        <w:spacing w:after="300" w:line="276"/>
      </w:pPr>
      <w:r>
        <w:rPr>
          <w:sz w:val="20"/>
          <w:szCs w:val="20"/>
        </w:rPr>
        <w:t xml:space="preserve">GoApercu (SLAM / SleepFM track) — Foundation-model execution, digital-biomarker lifecycle and regulatory evidence tooling.  yc.goapercu.world</w:t>
      </w:r>
    </w:p>
    <w:p>
      <w:pPr>
        <w:spacing w:after="600" w:line="276"/>
      </w:pPr>
      <w:r>
        <w:rPr>
          <w:i/>
          <w:iCs/>
          <w:sz w:val="20"/>
          <w:szCs w:val="20"/>
        </w:rPr>
        <w:t xml:space="preserve">First clinical use case: CT-derived VO₂ max estimation — MD thesis, E. Aton (eangelica.life/academic).</w:t>
      </w:r>
    </w:p>
    <w:p>
      <w:pPr>
        <w:spacing w:after="140" w:line="276"/>
      </w:pPr>
      <w:r>
        <w:rPr>
          <w:color w:val="777777"/>
          <w:sz w:val="18"/>
          <w:szCs w:val="18"/>
        </w:rPr>
        <w:t xml:space="preserve">Draft v1.1 prepared 30 July 2026 for internal consortium review. Every quantitative claim in this document is registered in Annex C with an owner, a confirmation status and an evidence source. Figures marked PENDING in Annex C must not be used externally. Not for external distribution.</w:t>
      </w:r>
    </w:p>
    <w:p>
      <w:r>
        <w:br w:type="page"/>
      </w:r>
    </w:p>
    <w:p>
      <w:pPr>
        <w:pStyle w:val="Heading1"/>
        <w:pBdr>
          <w:bottom w:val="single" w:color="0E5F55" w:sz="6" w:space="6"/>
        </w:pBdr>
      </w:pPr>
      <w:r>
        <w:t xml:space="preserve">Abstract</w:t>
      </w:r>
    </w:p>
    <w:p>
      <w:pPr>
        <w:spacing w:after="140" w:line="276"/>
      </w:pPr>
      <w:r>
        <w:rPr>
          <w:sz w:val="22"/>
          <w:szCs w:val="22"/>
        </w:rPr>
        <w:t xml:space="preserve">Cardiorespiratory fitness — VO₂ max — is the strongest modifiable predictor of all-cause and cardiometabolic mortality, and the American Heart Association already designates it a clinical vital sign. It is also the only such marker that can be estimated passively and continuously from devices already worn by hundreds of millions of people. Yet no clinical product manages it. Wearables treat VO₂ max as consumer training data; health systems treat it as unmeasured.</w:t>
      </w:r>
    </w:p>
    <w:p>
      <w:pPr>
        <w:spacing w:after="140" w:line="276"/>
      </w:pPr>
      <w:r>
        <w:rPr>
          <w:sz w:val="22"/>
          <w:szCs w:val="22"/>
        </w:rPr>
        <w:t xml:space="preserve">MVS-CARDIO closes that gap. The consortium will convert noisy, device-heterogeneous free-living VO₂ estimates into a filtered, uncertainty-quantified latent fitness state; anchor that state against two independent reference standards — cardiopulmonary exercise testing (CPET) and CT-derived body-composition radiomics; extend it with a multimodal sleep foundation model (SleepFM class, Nature Medicine 2025/2026) that already predicts cardiometabolic time-to-event outcomes at C-index ≥ 0.75; and deliver the result into real care through a patient-side longitudinal record (Medome) and a clinician-side intake and documentation assistant (SOAP Health).</w:t>
      </w:r>
    </w:p>
    <w:p>
      <w:pPr>
        <w:spacing w:after="140" w:line="276"/>
      </w:pPr>
      <w:r>
        <w:rPr>
          <w:sz w:val="22"/>
          <w:szCs w:val="22"/>
        </w:rPr>
        <w:t xml:space="preserve">The output is not another score. It is a governed digital biomarker with a defined target claim, a reference standard, population norms, an intended use, calibrated uncertainty, drift monitoring and an audit-grade evidence packet per prediction — designed from day one against EU MDR, the EU AI Act and GDPR, and mirrored for FDA SaMD and US non-dilutive funding pathways.</w:t>
      </w:r>
    </w:p>
    <w:p>
      <w:pPr>
        <w:spacing w:after="160"/>
      </w:pPr>
      <w:r>
        <w:t xml:space="preserve"/>
      </w:r>
    </w:p>
    <w:p>
      <w:pPr>
        <w:pStyle w:val="Heading1"/>
        <w:pBdr>
          <w:bottom w:val="single" w:color="0E5F55" w:sz="6" w:space="6"/>
        </w:pBdr>
      </w:pPr>
      <w:r>
        <w:t xml:space="preserve">1. Excellence</w:t>
      </w:r>
    </w:p>
    <w:p>
      <w:pPr>
        <w:pStyle w:val="Heading2"/>
      </w:pPr>
      <w:r>
        <w:t xml:space="preserve">1.1 Objectives and ambition</w:t>
      </w:r>
    </w:p>
    <w:p>
      <w:pPr>
        <w:spacing w:after="140" w:line="276"/>
      </w:pPr>
      <w:r>
        <w:rPr>
          <w:sz w:val="22"/>
          <w:szCs w:val="22"/>
        </w:rPr>
        <w:t xml:space="preserve">The overall objective is to establish continuously-estimated VO₂ max as a clinically governed vital sign, validated to a defensible reference standard and embedded in the two workflows where it can change decisions: the patient's own longitudinal record and the clinician's pre-visit intake. Five specific objectives structure the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4200"/>
        <w:gridCol w:w="4460"/>
      </w:tblGrid>
      <w:tr>
        <w:trPr>
          <w:cantSplit/>
          <w:tblHeader/>
        </w:trPr>
        <w:tc>
          <w:tcPr>
            <w:tcW w:type="dxa" w:w="7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Obj.</w:t>
            </w:r>
          </w:p>
        </w:tc>
        <w:tc>
          <w:tcPr>
            <w:tcW w:type="dxa" w:w="42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Objective</w:t>
            </w:r>
          </w:p>
        </w:tc>
        <w:tc>
          <w:tcPr>
            <w:tcW w:type="dxa" w:w="44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Measurable target (end of project)</w:t>
            </w:r>
          </w:p>
        </w:tc>
      </w:tr>
      <w:tr>
        <w:trPr>
          <w:cantSplit/>
        </w:trP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O1</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Estimation validity — fuse repeated free-living wearable VO₂ estimates into a filtered latent fitness trajectory with calibrated uncertainty.</w:t>
            </w:r>
          </w:p>
        </w:tc>
        <w:tc>
          <w:tcPr>
            <w:tcW w:type="dxa" w:w="4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Filtered trajectory outperforms any single-device reading against CPET; pre-registered checkpoint of r ≥ 0.85 and narrowed limits of agreement vs the ±9–10 mL/kg/min typical of single readings.</w:t>
            </w:r>
          </w:p>
        </w:tc>
      </w:tr>
      <w:tr>
        <w:trPr>
          <w:cantSplit/>
        </w:trP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O2</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Independent reference anchor — derive VO₂ max estimates from routine CT body-composition radiomics (skeletal muscle index, myosteatosis, visceral adiposity).</w:t>
            </w:r>
          </w:p>
        </w:tc>
        <w:tc>
          <w:tcPr>
            <w:tcW w:type="dxa" w:w="4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CT-derived estimator validated in a retrospective cohort with paired CPET; reported with 95% CI and subgroup performance by age, sex and BMI.</w:t>
            </w:r>
          </w:p>
        </w:tc>
      </w:tr>
      <w:tr>
        <w:trPr>
          <w:cantSplit/>
        </w:trP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O3</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Multimodal extension — integrate a SleepFM-class sleep foundation model so nocturnal physiology contributes to the fitness state and to time-to-event risk.</w:t>
            </w:r>
          </w:p>
        </w:tc>
        <w:tc>
          <w:tcPr>
            <w:tcW w:type="dxa" w:w="4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C-index ≥ 0.75 maintained on held-out cohorts for the cardiometabolic outcome set; incremental value over VO₂ alone quantified and reported honestly, including null results.</w:t>
            </w:r>
          </w:p>
        </w:tc>
      </w:tr>
      <w:tr>
        <w:trPr>
          <w:cantSplit/>
        </w:trP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O4</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Clinical deployment — deliver the governed signal into the Medome longitudinal record and the SOAP Health intake/assessment workflow.</w:t>
            </w:r>
          </w:p>
        </w:tc>
        <w:tc>
          <w:tcPr>
            <w:tcW w:type="dxa" w:w="4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Two live integrations; clinician-facing report generated in &lt; 60 s; prospective usability study with clinicians at partner sites.</w:t>
            </w:r>
          </w:p>
        </w:tc>
      </w:tr>
      <w:tr>
        <w:trPr>
          <w:cantSplit/>
        </w:trPr>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O5</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Regulatory and ethical readiness — an EU-first evidence and governance package.</w:t>
            </w:r>
          </w:p>
        </w:tc>
        <w:tc>
          <w:tcPr>
            <w:tcW w:type="dxa" w:w="4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MDR classification rationale, EU AI Act high-risk gap analysis, DPIA, model card, change-control plan and pre-submission dossier completed by M30.</w:t>
            </w:r>
          </w:p>
        </w:tc>
      </w:tr>
    </w:tbl>
    <w:p>
      <w:pPr>
        <w:spacing w:after="160"/>
      </w:pPr>
      <w:r>
        <w:t xml:space="preserve"/>
      </w:r>
    </w:p>
    <w:p>
      <w:pPr>
        <w:pStyle w:val="Heading2"/>
      </w:pPr>
      <w:r>
        <w:t xml:space="preserve">1.2 State of the art, and what lies beyond it</w:t>
      </w:r>
    </w:p>
    <w:p>
      <w:pPr>
        <w:spacing w:after="140" w:line="276"/>
      </w:pPr>
      <w:r>
        <w:rPr>
          <w:sz w:val="22"/>
          <w:szCs w:val="22"/>
        </w:rPr>
        <w:t xml:space="preserve">The evidence base for the signal is unusually strong. In a Cleveland Clinic cohort of 122,007 patients, the adjusted all-cause mortality hazard ratio for the lowest fitness stratum was approximately 5.04 against a normal-fitness reference — exceeding smoking (1.41), diabetes (1.40) and coronary artery disease (1.29) (Mandsager, JAMA Netw Open 2018). A 750,000-veteran analysis found roughly 14% lower all-cause mortality per 1-MET gain with no observed ceiling (Kokkinos, JACC 2022), and a 102,980-person meta-analysis reported 13% lower mortality and 15% fewer cardiovascular events per MET (Kodama, JAMA 2009). Fitness is reversible: men moving from unfit to fit between two examinations showed approximately 44% lower all-cause mortality (Blair, JAMA 1995).</w:t>
      </w:r>
    </w:p>
    <w:p>
      <w:pPr>
        <w:spacing w:after="140" w:line="276"/>
      </w:pPr>
      <w:r>
        <w:rPr>
          <w:sz w:val="22"/>
          <w:szCs w:val="22"/>
        </w:rPr>
        <w:t xml:space="preserve">The measurement layer is equally mature in one direction and immature in another. Every major wearable platform — Apple, Garmin, Fitbit, WHOOP, Oura, Polar — now outputs a VO₂ max estimate, giving a passive population-scale signal across 560M+ devices. But no wearable measures VO₂ max: every number is a model estimate. Non-exercise equations and submaximal heart-rate–VO₂ models are validated to roughly 5 mL/kg/min standard error of estimate; single free-living readings carry limits of agreement of approximately ±9–10 mL/kg/min and degrade at fitness extremes. That is the honest limit, and it is precisely the limit the project attacks.</w:t>
      </w:r>
    </w:p>
    <w:p>
      <w:pPr>
        <w:spacing w:after="140" w:line="276"/>
      </w:pPr>
      <w:r>
        <w:rPr>
          <w:sz w:val="22"/>
          <w:szCs w:val="22"/>
        </w:rPr>
        <w:t xml:space="preserve">Three research strands are converging and have not yet been combined. First, stochastic state-space estimation — Kalman/EKF/UKF tracking, hidden-Markov segmentation, particle filters and Gaussian processes, including the Sparse Laplace Approximation Method (arXiv:1504.06352v2) — allows repeated noisy observations of a slowly-varying latent physiological state to be fused into a trajectory far more precise than any single observation. Second, wearable and physiological foundation models have matured: SleepFM, trained on 585,000+ hours of polysomnography across roughly 65,000 participants and published in Nature Medicine, predicts a broad set of time-to-event outcomes at C-index ≥ 0.75, including all-cause mortality (0.84), myocardial infarction (0.81) and heart failure (0.80). Third, quantitative imaging has shown that routine CT contains body-composition information tightly coupled to aerobic capacity, offering a reference standard that is retrospective, abundant and free of the effort and ceiling artefacts that limit exercise testing.</w:t>
      </w:r>
    </w:p>
    <w:p>
      <w:pPr>
        <w:spacing w:after="140" w:line="276"/>
      </w:pPr>
      <w:r>
        <w:rPr>
          <w:sz w:val="22"/>
          <w:szCs w:val="22"/>
        </w:rPr>
        <w:t xml:space="preserve">Progress beyond the state of the art is therefore threefold: (i) the first fusion of state-space latent-fitness estimation with a physiological foundation model, so that daytime exertion and nocturnal physiology inform one estimate; (ii) the first use of CT radiomics as an independent, scalable reference anchor for wearable-derived VO₂ max, breaking the field's single-reference dependency on CPET; and (iii) the first end-to-end governance chain in which every prediction ships with provenance, uncertainty and an audit-grade evidence record, making the biomarker regulable rather than merely accurate.</w:t>
      </w:r>
    </w:p>
    <w:p>
      <w:pPr>
        <w:pStyle w:val="Heading2"/>
      </w:pPr>
      <w:r>
        <w:t xml:space="preserve">1.3 Methodology</w:t>
      </w:r>
    </w:p>
    <w:p>
      <w:pPr>
        <w:spacing w:after="140" w:line="276"/>
      </w:pPr>
      <w:r>
        <w:rPr>
          <w:sz w:val="22"/>
          <w:szCs w:val="22"/>
        </w:rPr>
        <w:t xml:space="preserve">The technical architecture is a closed loop of five stages, executed as a scientific pipeline rather than a product feature.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4200"/>
        <w:gridCol w:w="4060"/>
      </w:tblGrid>
      <w:tr>
        <w:trPr>
          <w:cantSplit/>
          <w:tblHeader/>
        </w:trPr>
        <w:tc>
          <w:tcPr>
            <w:tcW w:type="dxa" w:w="11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Stage</w:t>
            </w:r>
          </w:p>
        </w:tc>
        <w:tc>
          <w:tcPr>
            <w:tcW w:type="dxa" w:w="42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Method</w:t>
            </w:r>
          </w:p>
        </w:tc>
        <w:tc>
          <w:tcPr>
            <w:tcW w:type="dxa" w:w="40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Output and quality control</w:t>
            </w:r>
          </w:p>
        </w:tc>
      </w:tr>
      <w:tr>
        <w:trPr>
          <w:cantSplit/>
        </w:trPr>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 · Sense</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Ingest heart rate, motion, pace, HRV and sleep from consumer wearables via HealthKit, Terra/Rook connectors, bulk CSV and a public REST API. Device firmware version and sampling rate recorded per record.</w:t>
            </w:r>
          </w:p>
        </w:tc>
        <w:tc>
          <w:tcPr>
            <w:tcW w:type="dxa" w:w="4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Signal and cohort genealogy: every observation carries device, firmware and cohort lineage — the prerequisite for change control.</w:t>
            </w:r>
          </w:p>
        </w:tc>
      </w:tr>
      <w:tr>
        <w:trPr>
          <w:cantSplit/>
        </w:trPr>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2 · Estimate</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Per-reading VO₂ estimates from submaximal HR–VO₂ models, %HR-reserve ≈ %VO₂-reserve inference, and the Uth–Sørensen–Overgaard–Pedersen relation, with HRmax priors (Tanaka, JACC 2001) and FRIEND registry norms (Kaminsky, Mayo Clin Proc 2015).</w:t>
            </w:r>
          </w:p>
        </w:tc>
        <w:tc>
          <w:tcPr>
            <w:tcW w:type="dxa" w:w="4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Reading-level estimate with an explicit error model rather than a point value.</w:t>
            </w:r>
          </w:p>
        </w:tc>
      </w:tr>
      <w:tr>
        <w:trPr>
          <w:cantSplit/>
        </w:trPr>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 · Filter</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State-space fusion of repeated readings into a latent fitness state: Kalman/EKF/UKF, HMM segmentation of behavioural regimes, particle filtering for non-Gaussian noise, Gaussian-process priors for slow drift; SLAM sparse-Laplace approximation for tractable posterior inference.</w:t>
            </w:r>
          </w:p>
        </w:tc>
        <w:tc>
          <w:tcPr>
            <w:tcW w:type="dxa" w:w="4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Filtered trajectory with posterior credible intervals; calibration assessed by coverage of held-out CPET values.</w:t>
            </w:r>
          </w:p>
        </w:tc>
      </w:tr>
      <w:tr>
        <w:trPr>
          <w:cantSplit/>
        </w:trPr>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4 · Anchor</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Two independent reference standards: (a) CPET in the prospective validation cohort; (b) CT-derived body-composition radiomics from routine imaging, the subject of the lead clinical thesis.</w:t>
            </w:r>
          </w:p>
        </w:tc>
        <w:tc>
          <w:tcPr>
            <w:tcW w:type="dxa" w:w="4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Cross-validated agreement, Bland–Altman limits, subgroup performance and pre-registered analysis plan.</w:t>
            </w:r>
          </w:p>
        </w:tc>
      </w:tr>
      <w:tr>
        <w:trPr>
          <w:cantSplit/>
        </w:trPr>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5 · Predict &amp; act</w:t>
            </w:r>
          </w:p>
        </w:tc>
        <w:tc>
          <w:tcPr>
            <w:tcW w:type="dxa" w:w="4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Survival modelling (DeepSurv, DeepHit, random survival forests) over the fused state plus SleepFM embeddings; reinforcement-learning / JITAI dosing of exercise and lifestyle prescriptions.</w:t>
            </w:r>
          </w:p>
        </w:tc>
        <w:tc>
          <w:tcPr>
            <w:tcW w:type="dxa" w:w="40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Time-to-event risk with C-index and calibration curves; intervention response feeds back into the state estimate.</w:t>
            </w:r>
          </w:p>
        </w:tc>
      </w:tr>
    </w:tbl>
    <w:p>
      <w:pPr>
        <w:spacing w:after="160"/>
      </w:pPr>
      <w:r>
        <w:t xml:space="preserve"/>
      </w:r>
    </w:p>
    <w:p>
      <w:pPr>
        <w:spacing w:after="140" w:line="276"/>
      </w:pPr>
      <w:r>
        <w:rPr>
          <w:sz w:val="22"/>
          <w:szCs w:val="22"/>
        </w:rPr>
        <w:t xml:space="preserve">Two methodological commitments distinguish this proposal. First, uncertainty is a first-class deliverable: a fitness trajectory without credible intervals is not clinically usable, and the project will report coverage, not only correlation. Second, negative and null results are pre-committed for publication — if the CT-derived anchor or the SleepFM extension fails to add incremental value over the filtered wearable trajectory alone, that finding is published, because the field currently lacks it.</w:t>
      </w:r>
    </w:p>
    <w:p>
      <w:pPr>
        <w:pStyle w:val="Heading2"/>
      </w:pPr>
      <w:r>
        <w:t xml:space="preserve">1.4 First use case and interdisciplinarity</w:t>
      </w:r>
    </w:p>
    <w:p>
      <w:pPr>
        <w:spacing w:after="140" w:line="276"/>
      </w:pPr>
      <w:r>
        <w:rPr>
          <w:sz w:val="22"/>
          <w:szCs w:val="22"/>
        </w:rPr>
        <w:t xml:space="preserve">The project's first clinical use case is the MD thesis of E. Aton on CT-derived VO₂ max estimation, which supplies the reference-standard methodology for Objective O2 and grounds the consortium in a defined clinical population rather than an abstract cohort. It is deliberately narrow: a retrospective imaging cohort with paired exercise-testing data, an explicit pre-registered analysis plan, and a single primary endpoint. The programme widens outward from there — imaging anchor, then wearable fusion, then prospective clinical deployment.</w:t>
      </w:r>
    </w:p>
    <w:p>
      <w:pPr>
        <w:spacing w:after="140" w:line="276"/>
      </w:pPr>
      <w:r>
        <w:rPr>
          <w:sz w:val="22"/>
          <w:szCs w:val="22"/>
        </w:rPr>
        <w:t xml:space="preserve">The consortium is interdisciplinary by construction: clinical medicine and radiomics (thesis and clinical partners), applied stochastic estimation and foundation-model engineering (AeroGlyphics, GoApercu), longitudinal patient-record informatics (Medome), and clinical-workflow AI with documentation and liability exposure in scope (SOAP Health). Regulatory science is embedded in every work package rather than appended at the end.</w:t>
      </w:r>
    </w:p>
    <w:p>
      <w:pPr>
        <w:spacing w:after="160"/>
      </w:pPr>
      <w:r>
        <w:t xml:space="preserve"/>
      </w:r>
    </w:p>
    <w:p>
      <w:pPr>
        <w:pStyle w:val="Heading1"/>
        <w:pBdr>
          <w:bottom w:val="single" w:color="0E5F55" w:sz="6" w:space="6"/>
        </w:pBdr>
      </w:pPr>
      <w:r>
        <w:t xml:space="preserve">2. Impact</w:t>
      </w:r>
    </w:p>
    <w:p>
      <w:pPr>
        <w:pStyle w:val="Heading2"/>
      </w:pPr>
      <w:r>
        <w:t xml:space="preserve">2.1 Pathways to impact</w:t>
      </w:r>
    </w:p>
    <w:p>
      <w:pPr>
        <w:spacing w:after="140" w:line="276"/>
      </w:pPr>
      <w:r>
        <w:rPr>
          <w:sz w:val="22"/>
          <w:szCs w:val="22"/>
        </w:rPr>
        <w:t xml:space="preserve">Scientific impact. The project produces the first head-to-head evidence on whether a filtered, multi-observation fitness trajectory is clinically superior to the single-reading estimates currently shipped by consumer devices, and whether routine CT can serve as a scalable reference standard for aerobic capacity. Both questions are open and both are answerable within the project horizon.</w:t>
      </w:r>
    </w:p>
    <w:p>
      <w:pPr>
        <w:spacing w:after="140" w:line="276"/>
      </w:pPr>
      <w:r>
        <w:rPr>
          <w:sz w:val="22"/>
          <w:szCs w:val="22"/>
        </w:rPr>
        <w:t xml:space="preserve">Clinical and societal impact. Cardiometabolic disease is the largest and fastest-growing cost in medicine: the AHA projects 61% of US adults will have cardiovascular disease by 2050, US diabetes alone costs roughly $413B annually — one of every four healthcare dollars — and European burden trends track the same direction. A managed, reversible upstream signal changes the intervention point from diagnosis to decline. Because fitness responds to intervention, a validated trajectory is not only a prognostic marker but a control variable.</w:t>
      </w:r>
    </w:p>
    <w:p>
      <w:pPr>
        <w:spacing w:after="140" w:line="276"/>
      </w:pPr>
      <w:r>
        <w:rPr>
          <w:sz w:val="22"/>
          <w:szCs w:val="22"/>
        </w:rPr>
        <w:t xml:space="preserve">Economic impact. The signal is reimbursable in existing frameworks. US Medicare remote physiologic monitoring codes (99453/99454/99457/99458) already pay approximately $120+ per patient per month for device-based physiologic monitoring and management. In the EU, the route runs through national digital-health reimbursement schemes (DiGA in Germany, PECAN in France) and through payer and occupational-health contracts. The cardiovascular digital-health market is estimated at $42.4B in 2024 rising to approximately $141B by 2030 (Grand View Research; single-source estimate, second-source triangulation is Annex C item C11 and remains PENDING, so this figure is used for internal framing only).</w:t>
      </w:r>
    </w:p>
    <w:p>
      <w:pPr>
        <w:pStyle w:val="Heading3"/>
      </w:pPr>
      <w:r>
        <w:t xml:space="preserve">Confirmed consortium baseline (status per Annex C)</w:t>
      </w:r>
    </w:p>
    <w:p>
      <w:pPr>
        <w:spacing w:after="140" w:line="276"/>
      </w:pPr>
      <w:r>
        <w:rPr>
          <w:sz w:val="22"/>
          <w:szCs w:val="22"/>
        </w:rPr>
        <w:t xml:space="preserve">The programme does not rest on the coordinator's traction; it rests on published cohort evidence. The baseline below separates what each partner has confirmed from what remains open, so reviewers can weigh the two differently.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700"/>
        <w:gridCol w:w="2660"/>
      </w:tblGrid>
      <w:tr>
        <w:trPr>
          <w:cantSplit/>
          <w:tblHeader/>
        </w:trPr>
        <w:tc>
          <w:tcPr>
            <w:tcW w:type="dxa" w:w="20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Figure</w:t>
            </w:r>
          </w:p>
        </w:tc>
        <w:tc>
          <w:tcPr>
            <w:tcW w:type="dxa" w:w="47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Confirmed value</w:t>
            </w:r>
          </w:p>
        </w:tc>
        <w:tc>
          <w:tcPr>
            <w:tcW w:type="dxa" w:w="26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Source · owner</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beta cohort</w:t>
            </w:r>
          </w:p>
        </w:tc>
        <w:tc>
          <w:tcPr>
            <w:tcW w:type="dxa" w:w="4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42 beta users across 3 clinical partner sites; pre-revenue by design (no commercial launch before clearance and reimbursement).</w:t>
            </w:r>
          </w:p>
        </w:tc>
        <w:tc>
          <w:tcPr>
            <w:tcW w:type="dxa" w:w="2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YC deck, Jul 2026 · AeroGlyphics</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Free-living VO₂ max predictability</w:t>
            </w:r>
          </w:p>
        </w:tc>
        <w:tc>
          <w:tcPr>
            <w:tcW w:type="dxa" w:w="4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 ≈ 0.82 for free-living VO₂ max prediction with longitudinal change tracking — published Fenland-study result, not an internal AeroGlyphics result. Earlier drafts conflated the two; the attribution is corrected here.</w:t>
            </w:r>
          </w:p>
        </w:tc>
        <w:tc>
          <w:tcPr>
            <w:tcW w:type="dxa" w:w="2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Spathis et al., npj Digit Med 2022 · AeroGlyphics</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Internal agreement vs CPET</w:t>
            </w:r>
          </w:p>
        </w:tc>
        <w:tc>
          <w:tcPr>
            <w:tcW w:type="dxa" w:w="4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Not yet reportable. The 42-user beta has no paired maximal CPET set of sufficient size; no internal correlation coefficient is claimed anywhere in this proposal.</w:t>
            </w:r>
          </w:p>
        </w:tc>
        <w:tc>
          <w:tcPr>
            <w:tcW w:type="dxa" w:w="2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 Annex C item C09 (PENDING)</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Commercial trajectory</w:t>
            </w:r>
          </w:p>
        </w:tc>
        <w:tc>
          <w:tcPr>
            <w:tcW w:type="dxa" w:w="4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Year-3 ARR target $6–12M via clinic per-seat and payer contracts; $1.5M pre-seed round in progress.</w:t>
            </w:r>
          </w:p>
        </w:tc>
        <w:tc>
          <w:tcPr>
            <w:tcW w:type="dxa" w:w="2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YC deck, Jul 2026 · AeroGlyphics</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Reimbursement anchor</w:t>
            </w:r>
          </w:p>
        </w:tc>
        <w:tc>
          <w:tcPr>
            <w:tcW w:type="dxa" w:w="4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US Medicare RPM codes 99453/99454/99457/99458 already reimburse ~$120+ per patient per month.</w:t>
            </w:r>
          </w:p>
        </w:tc>
        <w:tc>
          <w:tcPr>
            <w:tcW w:type="dxa" w:w="2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CMS fee schedule · SOAP Health</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SleepFM evidence base</w:t>
            </w:r>
          </w:p>
        </w:tc>
        <w:tc>
          <w:tcPr>
            <w:tcW w:type="dxa" w:w="4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585,000+ hours of polysomnography across ~65,000 participants; C-index ≥ 0.75 across 130 conditions, all-cause mortality 0.84, myocardial infarction 0.81, heart failure 0.80.</w:t>
            </w:r>
          </w:p>
        </w:tc>
        <w:tc>
          <w:tcPr>
            <w:tcW w:type="dxa" w:w="2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SleepFM, Nature Medicine 2025/2026 · GoApercu</w:t>
            </w:r>
          </w:p>
        </w:tc>
      </w:tr>
    </w:tbl>
    <w:p>
      <w:pPr>
        <w:spacing w:after="160"/>
      </w:pPr>
      <w:r>
        <w:t xml:space="preserve"/>
      </w:r>
    </w:p>
    <w:p>
      <w:pPr>
        <w:spacing w:after="140" w:line="276"/>
      </w:pPr>
      <w:r>
        <w:rPr>
          <w:sz w:val="22"/>
          <w:szCs w:val="22"/>
        </w:rPr>
        <w:t xml:space="preserve">European strategic impact. The programme keeps the model weights, the reference cohorts and the biomarker governance stack inside the EU regulatory perimeter, with in-region data residency and no cross-border replication of raw personal health data absent an executed data-processing agreement. It creates an EU-anchored alternative to a digital-biomarker layer currently defined almost entirely by non-European device vendors.</w:t>
      </w:r>
    </w:p>
    <w:p>
      <w:pPr>
        <w:pStyle w:val="Heading2"/>
      </w:pPr>
      <w:r>
        <w:t xml:space="preserve">2.2 Exploitation and the partnership logic</w:t>
      </w:r>
    </w:p>
    <w:p>
      <w:pPr>
        <w:spacing w:after="140" w:line="276"/>
      </w:pPr>
      <w:r>
        <w:rPr>
          <w:sz w:val="22"/>
          <w:szCs w:val="22"/>
        </w:rPr>
        <w:t xml:space="preserve">Each partner exploits a distinct layer, which is why the consortium is a partnership rather than a subcontract chain.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900"/>
        <w:gridCol w:w="3660"/>
      </w:tblGrid>
      <w:tr>
        <w:trPr>
          <w:cantSplit/>
          <w:tblHeader/>
        </w:trPr>
        <w:tc>
          <w:tcPr>
            <w:tcW w:type="dxa" w:w="18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Partner</w:t>
            </w:r>
          </w:p>
        </w:tc>
        <w:tc>
          <w:tcPr>
            <w:tcW w:type="dxa" w:w="39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Role in the consortium</w:t>
            </w:r>
          </w:p>
        </w:tc>
        <w:tc>
          <w:tcPr>
            <w:tcW w:type="dxa" w:w="36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Exploitation route</w:t>
            </w:r>
          </w:p>
        </w:tc>
      </w:tr>
      <w:tr>
        <w:trPr>
          <w:cantSplit/>
        </w:trP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(Coordinator)</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Estimation and filtering engine; VO₂ max evidence surface and public estimator; clinical report generation; scientific coordination.</w:t>
            </w:r>
          </w:p>
        </w:tc>
        <w:tc>
          <w:tcPr>
            <w:tcW w:type="dxa" w:w="3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Hardware-agnostic biomarker engine licensed per-seat to clinics and per-member to payers; rides wearable distribution rather than competing with it.</w:t>
            </w:r>
          </w:p>
        </w:tc>
      </w:tr>
      <w:tr>
        <w:trPr>
          <w:cantSplit/>
        </w:trP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Medome</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Longitudinal patient health record: prior records, clinician notes, laboratory results and wearable streams unified into one reviewable history that surfaces missed findings and risks.</w:t>
            </w:r>
          </w:p>
        </w:tc>
        <w:tc>
          <w:tcPr>
            <w:tcW w:type="dxa" w:w="3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Consumer subscription and health-system record integration; the fitness trajectory becomes a first-class element of the complete health record.</w:t>
            </w:r>
          </w:p>
        </w:tc>
      </w:tr>
      <w:tr>
        <w:trPr>
          <w:cantSplit/>
        </w:trP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SOAP Health</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Conversational and generative AI for patient intake, risk and symptom assessment, and SOAP-note documentation at the point of care.</w:t>
            </w:r>
          </w:p>
        </w:tc>
        <w:tc>
          <w:tcPr>
            <w:tcW w:type="dxa" w:w="3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Practice-level SaaS with an operational ROI case (clinician time saved per patient, documentation burden reduced); the vital sign arrives pre-interpreted in the pre-visit summary.</w:t>
            </w:r>
          </w:p>
        </w:tc>
      </w:tr>
      <w:tr>
        <w:trPr>
          <w:cantSplit/>
        </w:trP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GoApercu (SLAM / SleepFM)</w:t>
            </w:r>
          </w:p>
        </w:tc>
        <w:tc>
          <w:tcPr>
            <w:tcW w:type="dxa" w:w="3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Foundation-model execution and fine-tuning, digital-biomarker lifecycle tooling, evidence release and change-control automation.</w:t>
            </w:r>
          </w:p>
        </w:tc>
        <w:tc>
          <w:tcPr>
            <w:tcW w:type="dxa" w:w="3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Digital Biomarker Profile and Electronic Evidence Record tooling licensed to insurers, health systems and pharma digital-health teams.</w:t>
            </w:r>
          </w:p>
        </w:tc>
      </w:tr>
    </w:tbl>
    <w:p>
      <w:pPr>
        <w:spacing w:after="160"/>
      </w:pPr>
      <w:r>
        <w:t xml:space="preserve"/>
      </w:r>
    </w:p>
    <w:p>
      <w:pPr>
        <w:spacing w:after="140" w:line="276"/>
      </w:pPr>
      <w:r>
        <w:rPr>
          <w:sz w:val="22"/>
          <w:szCs w:val="22"/>
        </w:rPr>
        <w:t xml:space="preserve">SleepFM licence scope. The model is a Stanford-originated research artefact. GoApercu holds an academic/research-use position sufficient for WP4 fine-tuning, benchmarking and publication on de-identified data, and that scope is what the work plan assumes. A commercial and EU-deployment licence extension — covering paid clinical deployment inside the EEA, EU-resident weight hosting, and sublicensing to consortium partners — is under negotiation and is Annex C item C07 (PENDING, required before WP4 start at M6). Because the architecture is deliberately model-agnostic, failure to secure the commercial extension descopes WP4 to an in-house or openly-licensed sleep encoder rather than stopping the work package; the licence question is therefore a scope risk, not an existential one, and no claim in this proposal depends on commercial SleepFM rights. Joint exploitation is governed by a consortium agreement executed before grant signature, covering background IP (SLAM estimation methods; the SleepFM licence position described above; Medome record ontology; SOAP Health intake models), foreground ownership by generating partner, reciprocal access rights for project purposes, and joint ownership of the fused-biomarker specification.</w:t>
      </w:r>
    </w:p>
    <w:p>
      <w:pPr>
        <w:pStyle w:val="Heading2"/>
      </w:pPr>
      <w:r>
        <w:t xml:space="preserve">2.3 Dissemination, communication and open science</w:t>
      </w:r>
    </w:p>
    <w:p>
      <w:pPr>
        <w:pStyle w:val="ListParagraph"/>
        <w:numPr>
          <w:ilvl w:val="0"/>
          <w:numId w:val="2"/>
        </w:numPr>
        <w:spacing w:after="80" w:line="276"/>
      </w:pPr>
      <w:r>
        <w:rPr>
          <w:sz w:val="22"/>
          <w:szCs w:val="22"/>
        </w:rPr>
        <w:t xml:space="preserve">Peer-reviewed publication of the CT-derived VO₂ max estimator, the filtering methodology and the prospective validation, with pre-registration of primary endpoints before data lock.</w:t>
      </w:r>
    </w:p>
    <w:p>
      <w:pPr>
        <w:pStyle w:val="ListParagraph"/>
        <w:numPr>
          <w:ilvl w:val="0"/>
          <w:numId w:val="2"/>
        </w:numPr>
        <w:spacing w:after="80" w:line="276"/>
      </w:pPr>
      <w:r>
        <w:rPr>
          <w:sz w:val="22"/>
          <w:szCs w:val="22"/>
        </w:rPr>
        <w:t xml:space="preserve">Open release of the validation protocol, the model card and the analysis code; open weights considered where licence terms permit, with cohort data governed under controlled access.</w:t>
      </w:r>
    </w:p>
    <w:p>
      <w:pPr>
        <w:pStyle w:val="ListParagraph"/>
        <w:numPr>
          <w:ilvl w:val="0"/>
          <w:numId w:val="2"/>
        </w:numPr>
        <w:spacing w:after="80" w:line="276"/>
      </w:pPr>
      <w:r>
        <w:rPr>
          <w:sz w:val="22"/>
          <w:szCs w:val="22"/>
        </w:rPr>
        <w:t xml:space="preserve">A public evidence and estimator surface (aeroglyphics.dev) that cites every figure it displays, so clinicians and reviewers can audit claims without a data-access request.</w:t>
      </w:r>
    </w:p>
    <w:p>
      <w:pPr>
        <w:pStyle w:val="ListParagraph"/>
        <w:numPr>
          <w:ilvl w:val="0"/>
          <w:numId w:val="2"/>
        </w:numPr>
        <w:spacing w:after="80" w:line="276"/>
      </w:pPr>
      <w:r>
        <w:rPr>
          <w:sz w:val="22"/>
          <w:szCs w:val="22"/>
        </w:rPr>
        <w:t xml:space="preserve">Clinician-facing dissemination through partner sites, cardiology and preventive-medicine societies, and a one-page shareable clinical report designed to be readable in a fifteen-minute consultation.</w:t>
      </w:r>
    </w:p>
    <w:p>
      <w:pPr>
        <w:pStyle w:val="Heading2"/>
      </w:pPr>
      <w:r>
        <w:t xml:space="preserve">2.4 Ethical, legal and regulatory dimension</w:t>
      </w:r>
    </w:p>
    <w:p>
      <w:pPr>
        <w:spacing w:after="140" w:line="276"/>
      </w:pPr>
      <w:r>
        <w:rPr>
          <w:sz w:val="22"/>
          <w:szCs w:val="22"/>
        </w:rPr>
        <w:t xml:space="preserve">The project is designed EU-first. Under the EU AI Act, a system producing a clinical risk signal that informs medical decisions is expected to fall in the high-risk category, requiring risk management, data governance, technical documentation, logging, human oversight, accuracy and robustness evidence and post-market monitoring — all of which are work-package deliverables rather than late additions. Under MDR, classification will be argued explicitly and conservatively; wellness positioning is not used to evade clinical-claim obligations. GDPR compliance covers lawful basis, explicit consent, data minimisation, purpose limitation, the right to erasure, a named data-protection officer and a completed DPIA before any prospective data collection. Personal health data is stored in-region; de-identified training data moves only under a bilateral data-processing agreement that contractually prohibits re-identification.</w:t>
      </w:r>
    </w:p>
    <w:p>
      <w:pPr>
        <w:spacing w:after="160"/>
      </w:pPr>
      <w:r>
        <w:t xml:space="preserve"/>
      </w:r>
    </w:p>
    <w:p>
      <w:pPr>
        <w:pStyle w:val="Heading1"/>
        <w:pBdr>
          <w:bottom w:val="single" w:color="0E5F55" w:sz="6" w:space="6"/>
        </w:pBdr>
      </w:pPr>
      <w:r>
        <w:t xml:space="preserve">3. Implementation</w:t>
      </w:r>
    </w:p>
    <w:p>
      <w:pPr>
        <w:pStyle w:val="Heading2"/>
      </w:pPr>
      <w:r>
        <w:t xml:space="preserve">3.1 Work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900"/>
        <w:gridCol w:w="5460"/>
      </w:tblGrid>
      <w:tr>
        <w:trPr>
          <w:cantSplit/>
          <w:tblHeader/>
        </w:trPr>
        <w:tc>
          <w:tcPr>
            <w:tcW w:type="dxa" w:w="6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WP</w:t>
            </w:r>
          </w:p>
        </w:tc>
        <w:tc>
          <w:tcPr>
            <w:tcW w:type="dxa" w:w="24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Title · Lead</w:t>
            </w:r>
          </w:p>
        </w:tc>
        <w:tc>
          <w:tcPr>
            <w:tcW w:type="dxa" w:w="9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Months</w:t>
            </w:r>
          </w:p>
        </w:tc>
        <w:tc>
          <w:tcPr>
            <w:tcW w:type="dxa" w:w="54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Core content</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WP1</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Coordination, governance &amp; ethics</w:t>
            </w:r>
          </w:p>
          <w:p>
            <w:pPr>
              <w:spacing w:after="20" w:line="250"/>
            </w:pPr>
            <w:r>
              <w:rPr>
                <w:b w:val="false"/>
                <w:bCs w:val="false"/>
                <w:sz w:val="19"/>
                <w:szCs w:val="19"/>
              </w:rPr>
              <w:t xml:space="preserve">AeroGlyphics</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1–36</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Consortium management, EU reporting, ethics board, DPIA, data-protection officer, consortium agreement, risk register maintenance.</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WP2</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Reference standard: CT-derived VO₂ max</w:t>
            </w:r>
          </w:p>
          <w:p>
            <w:pPr>
              <w:spacing w:after="20" w:line="250"/>
            </w:pPr>
            <w:r>
              <w:rPr>
                <w:b w:val="false"/>
                <w:bCs w:val="false"/>
                <w:sz w:val="19"/>
                <w:szCs w:val="19"/>
              </w:rPr>
              <w:t xml:space="preserve">Clinical partner + AeroGlyphics</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1–18</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Retrospective imaging cohort assembly, radiomic feature extraction, estimator development and internal/external validation against paired CPET. Basis: MD thesis (Aton).</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WP3</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State-space estimation &amp; filtering</w:t>
            </w:r>
          </w:p>
          <w:p>
            <w:pPr>
              <w:spacing w:after="20" w:line="250"/>
            </w:pPr>
            <w:r>
              <w:rPr>
                <w:b w:val="false"/>
                <w:bCs w:val="false"/>
                <w:sz w:val="19"/>
                <w:szCs w:val="19"/>
              </w:rPr>
              <w:t xml:space="preserve">AeroGlyphics + GoApercu</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3–24</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Per-reading estimation models, Kalman/EKF/UKF and particle filtering, HMM regime segmentation, SLAM sparse-Laplace inference, uncertainty calibration, device-heterogeneity handling.</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WP4</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Foundation-model extension (SleepFM class)</w:t>
            </w:r>
          </w:p>
          <w:p>
            <w:pPr>
              <w:spacing w:after="20" w:line="250"/>
            </w:pPr>
            <w:r>
              <w:rPr>
                <w:b w:val="false"/>
                <w:bCs w:val="false"/>
                <w:sz w:val="19"/>
                <w:szCs w:val="19"/>
              </w:rPr>
              <w:t xml:space="preserve">GoApercu</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6–28</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Fine-tuning on PSG and wrist-PPG data, fusion of sleep embeddings with the fitness state, survival modelling, incremental-value analysis over VO₂ alone.</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WP5</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Clinical integration &amp; prospective validation</w:t>
            </w:r>
          </w:p>
          <w:p>
            <w:pPr>
              <w:spacing w:after="20" w:line="250"/>
            </w:pPr>
            <w:r>
              <w:rPr>
                <w:b w:val="false"/>
                <w:bCs w:val="false"/>
                <w:sz w:val="19"/>
                <w:szCs w:val="19"/>
              </w:rPr>
              <w:t xml:space="preserve">SOAP Health + Medome + clinical sites</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12–34</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Prospective validation cohort with CPET; integration into the Medome longitudinal record and the SOAP Health intake workflow; clinician usability study; clinical report design.</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WP6</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Regulatory, evidence release &amp; change control</w:t>
            </w:r>
          </w:p>
          <w:p>
            <w:pPr>
              <w:spacing w:after="20" w:line="250"/>
            </w:pPr>
            <w:r>
              <w:rPr>
                <w:b w:val="false"/>
                <w:bCs w:val="false"/>
                <w:sz w:val="19"/>
                <w:szCs w:val="19"/>
              </w:rPr>
              <w:t xml:space="preserve">GoApercu + AeroGlyphics</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6–34</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MDR classification rationale, EU AI Act high-risk gap analysis and technical file, model cards, drift monitoring, audit-grade evidence packets, notified-body and FDA pre-submission preparation.</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WP7</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Dissemination, exploitation &amp; communication</w:t>
            </w:r>
          </w:p>
          <w:p>
            <w:pPr>
              <w:spacing w:after="20" w:line="250"/>
            </w:pPr>
            <w:r>
              <w:rPr>
                <w:b w:val="false"/>
                <w:bCs w:val="false"/>
                <w:sz w:val="19"/>
                <w:szCs w:val="19"/>
              </w:rPr>
              <w:t xml:space="preserve">All partners</w:t>
            </w:r>
          </w:p>
        </w:tc>
        <w:tc>
          <w:tcPr>
            <w:tcW w:type="dxa" w:w="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1–36</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Publications, open-science releases, standards engagement, payer and health-system exploitation, public evidence surface, final exploitation plan.</w:t>
            </w:r>
          </w:p>
        </w:tc>
      </w:tr>
    </w:tbl>
    <w:p>
      <w:pPr>
        <w:spacing w:after="160"/>
      </w:pPr>
      <w:r>
        <w:t xml:space="preserve"/>
      </w:r>
    </w:p>
    <w:p>
      <w:pPr>
        <w:pStyle w:val="Heading2"/>
      </w:pPr>
      <w:r>
        <w:t xml:space="preserve">3.2 Cohort sizes and statistical basis</w:t>
      </w:r>
    </w:p>
    <w:p>
      <w:pPr>
        <w:spacing w:after="140" w:line="276"/>
      </w:pPr>
      <w:r>
        <w:rPr>
          <w:sz w:val="22"/>
          <w:szCs w:val="22"/>
        </w:rPr>
        <w:t xml:space="preserve">Cohort sizes are consortium-agreed planning targets derived from the precision required by each primary endpoint, not from data availability. Final numbers are conditional on site-level feasibility counts and ethics approvals (Annex C items C04–C06).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500"/>
        <w:gridCol w:w="2100"/>
        <w:gridCol w:w="4560"/>
      </w:tblGrid>
      <w:tr>
        <w:trPr>
          <w:cantSplit/>
          <w:tblHeader/>
        </w:trPr>
        <w:tc>
          <w:tcPr>
            <w:tcW w:type="dxa" w:w="22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Cohort</w:t>
            </w:r>
          </w:p>
        </w:tc>
        <w:tc>
          <w:tcPr>
            <w:tcW w:type="dxa" w:w="5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WP</w:t>
            </w:r>
          </w:p>
        </w:tc>
        <w:tc>
          <w:tcPr>
            <w:tcW w:type="dxa" w:w="21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Target n</w:t>
            </w:r>
          </w:p>
        </w:tc>
        <w:tc>
          <w:tcPr>
            <w:tcW w:type="dxa" w:w="45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Statistical basis and status</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Retrospective CT + paired CPET (derivation)</w:t>
            </w:r>
          </w:p>
        </w:tc>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WP2</w:t>
            </w:r>
          </w:p>
        </w:tc>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600 studies, ≥ 3 scanner vendors, ≥ 3 sites</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Powered for a multivariable radiomic estimator at roughly 15 candidate predictors and ≥ 30 observations per predictor, with a held-out fraction reserved for internal validation. Site feasibility counts PENDING (C04).</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Retrospective external validation</w:t>
            </w:r>
          </w:p>
        </w:tc>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WP2</w:t>
            </w:r>
          </w:p>
        </w:tc>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200 studies, independent site and scanner vendor</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Sized so the 95% CI on Pearson r is about ±0.07 at r ≈ 0.75 — tight enough to distinguish a usable anchor from an unusable one. Site identification PENDING (C04).</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Free-living wearable observation cohort</w:t>
            </w:r>
          </w:p>
        </w:tc>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WP3</w:t>
            </w:r>
          </w:p>
        </w:tc>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500 participants, ≥ 12 weeks continuous wear, ≥ 4 device families</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Sized for device-heterogeneity modelling: ≥ 100 participants per major device family so per-device error models are estimable rather than pooled. Recruitment route confirmed via partner sites; count PENDING (C05).</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Prospective validation with paired CPET</w:t>
            </w:r>
          </w:p>
        </w:tc>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WP5</w:t>
            </w:r>
          </w:p>
        </w:tc>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240 participants (2 sites), primary-endpoint analysis set n ≥ 200 after 15% attrition</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200 gives a 95% CI half-width of about 2.0 mL/kg/min on the limits of agreement, sufficient to demonstrate a narrowing against the ±9–10 mL/kg/min single-reading benchmark. Ethics submissions PENDING (C06).</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Sleep/PSG fine-tuning corpus</w:t>
            </w:r>
          </w:p>
        </w:tc>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WP4</w:t>
            </w:r>
          </w:p>
        </w:tc>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Pre-trained base: ~65,000 participants, 585,000+ PSG hours (existing, confirmed). Project fine-tuning set: n = 1,500 nights from the WP5 cohort and open corpora.</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Base corpus is a published, confirmed asset. Fine-tuning volume is a planning target; access depends on the licence scope in C07 (PENDING).</w:t>
            </w:r>
          </w:p>
        </w:tc>
      </w:tr>
      <w:tr>
        <w:trPr>
          <w:cantSplit/>
        </w:trP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Clinician usability study</w:t>
            </w:r>
          </w:p>
        </w:tc>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WP5</w:t>
            </w:r>
          </w:p>
        </w:tc>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30 clinicians across both partner workflows</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Standard sample for saturation in task-based usability evaluation; not powered for inferential claims and not presented as such. Site staffing PENDING (C06).</w:t>
            </w:r>
          </w:p>
        </w:tc>
      </w:tr>
    </w:tbl>
    <w:p>
      <w:pPr>
        <w:spacing w:after="160"/>
      </w:pPr>
      <w:r>
        <w:t xml:space="preserve"/>
      </w:r>
    </w:p>
    <w:p>
      <w:pPr>
        <w:pStyle w:val="Heading2"/>
      </w:pPr>
      <w:r>
        <w:t xml:space="preserve">3.3 Deliverables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51"/>
        <w:gridCol w:w="6807"/>
        <w:gridCol w:w="851"/>
        <w:gridCol w:w="851"/>
      </w:tblGrid>
      <w:tr>
        <w:trPr>
          <w:cantSplit/>
          <w:tblHeader/>
        </w:trPr>
        <w:tc>
          <w:tcPr>
            <w:tcW w:type="dxa" w:w="851"/>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680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Deliverable</w:t>
            </w:r>
          </w:p>
        </w:tc>
        <w:tc>
          <w:tcPr>
            <w:tcW w:type="dxa" w:w="851"/>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WP</w:t>
            </w:r>
          </w:p>
        </w:tc>
        <w:tc>
          <w:tcPr>
            <w:tcW w:type="dxa" w:w="851"/>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Due</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D1.1</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Consortium agreement, data-governance framework and DPIA</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WP1</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M3</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D2.1</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Retrospective imaging cohort and pre-registered analysis plan</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WP2</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M8</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D2.2</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CT-derived VO₂ max estimator with validation report</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WP2</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M18</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D3.1</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Filtering engine v1 with calibrated uncertainty</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WP3</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M14</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D3.2</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Benchmark report: filtered trajectory vs single-device readings vs CPET</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WP3</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M24</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D4.1</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SleepFM-class fine-tuned model and incremental-value analysis</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WP4</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M28</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D5.1</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Prospective validation protocol and first-patient-in</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WP5</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M16</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D5.2</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Integrated clinical release (Medome record + SOAP Health intake)</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WP5</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M30</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D5.3</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Prospective validation results and clinician usability study</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WP5</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M34</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D6.1</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MDR classification rationale and EU AI Act gap analysis</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WP6</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M12</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D6.2</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Regulatory dossier, model cards and change-control plan</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WP6</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M30</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D7.1</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Dissemination and open-science package</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WP7</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M24</w:t>
            </w:r>
          </w:p>
        </w:tc>
      </w:tr>
      <w:tr>
        <w:trPr>
          <w:cantSplit/>
        </w:trPr>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D7.2</w:t>
            </w:r>
          </w:p>
        </w:tc>
        <w:tc>
          <w:tcPr>
            <w:tcW w:type="dxa" w:w="680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Final exploitation and market-deployment plan</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WP7</w:t>
            </w:r>
          </w:p>
        </w:tc>
        <w:tc>
          <w:tcPr>
            <w:tcW w:type="dxa" w:w="85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M36</w:t>
            </w:r>
          </w:p>
        </w:tc>
      </w:tr>
    </w:tbl>
    <w:p>
      <w:pPr>
        <w:spacing w:after="160"/>
      </w:pPr>
      <w:r>
        <w:t xml:space="preserve"/>
      </w:r>
    </w:p>
    <w:p>
      <w:pPr>
        <w:pStyle w:val="Heading2"/>
      </w:pPr>
      <w:r>
        <w:t xml:space="preserve">3.4 Milestones and go/no-go checkpoints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600"/>
        <w:gridCol w:w="700"/>
        <w:gridCol w:w="5460"/>
      </w:tblGrid>
      <w:tr>
        <w:trPr>
          <w:cantSplit/>
          <w:tblHeader/>
        </w:trPr>
        <w:tc>
          <w:tcPr>
            <w:tcW w:type="dxa" w:w="6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MS</w:t>
            </w:r>
          </w:p>
        </w:tc>
        <w:tc>
          <w:tcPr>
            <w:tcW w:type="dxa" w:w="26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Milestone</w:t>
            </w:r>
          </w:p>
        </w:tc>
        <w:tc>
          <w:tcPr>
            <w:tcW w:type="dxa" w:w="7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Month</w:t>
            </w:r>
          </w:p>
        </w:tc>
        <w:tc>
          <w:tcPr>
            <w:tcW w:type="dxa" w:w="54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Verifiable criterion</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MS1</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Ethics and data governance cleared</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M4</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DPIA approved; ethics approvals in place at all clinical sites.</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MS2</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Reference anchor established</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M18</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CT-derived estimator validated against paired CPET with reported 95% CI. Go/no-go: if agreement is insufficient, WP2 pivots to CPET-only anchoring and the finding is published.</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MS3</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Estimation checkpoint</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M24</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Pre-registered target r ≥ 0.85 for the filtered trajectory vs CPET. Go/no-go for clinical claim scope.</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MS4</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Multimodal incremental value</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M28</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C-index ≥ 0.75 retained and incremental value over VO₂ alone quantified; null result triggers descoping of WP4 claims, not concealment.</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MS5</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Clinical deployment live</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M30</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Signal live in both partner workflows; report generated in &lt; 60 s at partner sites.</w:t>
            </w:r>
          </w:p>
        </w:tc>
      </w:tr>
      <w:tr>
        <w:trPr>
          <w:cantSplit/>
        </w:trPr>
        <w:tc>
          <w:tcPr>
            <w:tcW w:type="dxa" w:w="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MS6</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Regulatory readiness</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M34</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Technical file complete; pre-submission meeting held or scheduled.</w:t>
            </w:r>
          </w:p>
        </w:tc>
      </w:tr>
    </w:tbl>
    <w:p>
      <w:pPr>
        <w:spacing w:after="160"/>
      </w:pPr>
      <w:r>
        <w:t xml:space="preserve"/>
      </w:r>
    </w:p>
    <w:p>
      <w:pPr>
        <w:pStyle w:val="Heading2"/>
      </w:pPr>
      <w:r>
        <w:t xml:space="preserve">3.5 Risk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700"/>
        <w:gridCol w:w="5460"/>
      </w:tblGrid>
      <w:tr>
        <w:trPr>
          <w:cantSplit/>
          <w:tblHeader/>
        </w:trPr>
        <w:tc>
          <w:tcPr>
            <w:tcW w:type="dxa" w:w="32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Risk</w:t>
            </w:r>
          </w:p>
        </w:tc>
        <w:tc>
          <w:tcPr>
            <w:tcW w:type="dxa" w:w="7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L / I</w:t>
            </w:r>
          </w:p>
        </w:tc>
        <w:tc>
          <w:tcPr>
            <w:tcW w:type="dxa" w:w="54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Mitigation</w:t>
            </w:r>
          </w:p>
        </w:tc>
      </w:tr>
      <w:tr>
        <w:trPr>
          <w:cantSplit/>
        </w:trP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Filtered trajectory fails to beat single-device readings against CPET.</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 / H</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Pre-registered checkpoint at M24; fallback to a narrower claim (trend detection rather than absolute value); the negative result is itself a publishable contribution and is committed to publication.</w:t>
            </w:r>
          </w:p>
        </w:tc>
      </w:tr>
      <w:tr>
        <w:trPr>
          <w:cantSplit/>
        </w:trP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CT-derived anchor does not generalise across scanners and protocols.</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 / M</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Multi-site, multi-vendor cohort from the outset; harmonisation and scanner-effect modelling; external validation cohort held out.</w:t>
            </w:r>
          </w:p>
        </w:tc>
      </w:tr>
      <w:tr>
        <w:trPr>
          <w:cantSplit/>
        </w:trP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Cohort and dataset access delayed (imaging archives, PSG corpora, biobanks).</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 / H</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Parallel data-access applications filed at M1; open corpora (Zenodo/Figshare/PhysioNet class) as fallback; retrospective work front-loaded so delays do not idle the team.</w:t>
            </w:r>
          </w:p>
        </w:tc>
      </w:tr>
      <w:tr>
        <w:trPr>
          <w:cantSplit/>
        </w:trP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Regulatory classification stricter than assumed (MDR class and AI Act high-risk obligations).</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 / H</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Conservative classification assumed from day one; regulatory counsel engaged at M1; wellness framing explicitly not used as an evasion route.</w:t>
            </w:r>
          </w:p>
        </w:tc>
      </w:tr>
      <w:tr>
        <w:trPr>
          <w:cantSplit/>
        </w:trP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Clinician adoption fails — the signal is delivered but not acted on.</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 / H</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Delivery inside existing intake and record workflows rather than a new application; usability study with clinicians in WP5; measure acted-upon rate, not app opens.</w:t>
            </w:r>
          </w:p>
        </w:tc>
      </w:tr>
      <w:tr>
        <w:trPr>
          <w:cantSplit/>
        </w:trP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SleepFM commercial / EU-deployment licence extension not granted (research-use scope only).</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 / M</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Research-use scope already covers WP4 science and publication; commercial extension tracked as a gated item due before M6 (Annex C C07); architecture is model-agnostic so an openly-licensed or in-house sleep encoder substitutes without redesign. No project claim depends on commercial SleepFM rights.</w:t>
            </w:r>
          </w:p>
        </w:tc>
      </w:tr>
      <w:tr>
        <w:trPr>
          <w:cantSplit/>
        </w:trP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Consortium dependency — a partner withdraws.</w:t>
            </w:r>
          </w:p>
        </w:tc>
        <w:tc>
          <w:tcPr>
            <w:tcW w:type="dxa" w:w="7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L / M</w:t>
            </w:r>
          </w:p>
        </w:tc>
        <w:tc>
          <w:tcPr>
            <w:tcW w:type="dxa" w:w="54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Interfaces specified as contracts between layers; coordinator retains capability to substitute the record or intake layer without invalidating WP2–WP4.</w:t>
            </w:r>
          </w:p>
        </w:tc>
      </w:tr>
    </w:tbl>
    <w:p>
      <w:pPr>
        <w:spacing w:after="160"/>
      </w:pPr>
      <w:r>
        <w:t xml:space="preserve"/>
      </w:r>
    </w:p>
    <w:p>
      <w:pPr>
        <w:pStyle w:val="Heading2"/>
      </w:pPr>
      <w:r>
        <w:t xml:space="preserve">3.6 Consortium and management structure</w:t>
      </w:r>
    </w:p>
    <w:p>
      <w:pPr>
        <w:spacing w:after="140" w:line="276"/>
      </w:pPr>
      <w:r>
        <w:rPr>
          <w:sz w:val="22"/>
          <w:szCs w:val="22"/>
        </w:rPr>
        <w:t xml:space="preserve">AeroGlyphics coordinates, chairs the Project Steering Committee and owns EU reporting. Each work-package lead sits on the Steering Committee, which meets monthly, with a quarterly technical review and an annual external advisory review. An independent Ethics and Data Protection Board reviews all protocol changes affecting personal data. Scientific disputes escalate to the Steering Committee; commercial disputes to the consortium agreement's arbitration clause.</w:t>
      </w:r>
    </w:p>
    <w:p>
      <w:pPr>
        <w:spacing w:after="140" w:line="276"/>
      </w:pPr>
      <w:r>
        <w:rPr>
          <w:sz w:val="22"/>
          <w:szCs w:val="22"/>
        </w:rPr>
        <w:t xml:space="preserve">Founding team status is stated plainly rather than implied: the coordinating team comprises a full-time founder with technical leads whose full-time transition is contingent on the current financing round. Grant-funded positions are budgeted to remove that dependency for the project's critical path.</w:t>
      </w:r>
    </w:p>
    <w:p>
      <w:pPr>
        <w:pStyle w:val="Heading2"/>
      </w:pPr>
      <w:r>
        <w:t xml:space="preserve">3.7 Budget</w:t>
      </w:r>
    </w:p>
    <w:p>
      <w:pPr>
        <w:spacing w:after="140" w:line="276"/>
      </w:pPr>
      <w:r>
        <w:rPr>
          <w:i/>
          <w:iCs/>
          <w:sz w:val="20"/>
          <w:szCs w:val="20"/>
        </w:rPr>
        <w:t xml:space="preserve">The €3.85M envelope and the per-partner split below are consortium-agreed planning values (Annex C items C01–C03). Personnel costs are built from person-month counts at each partner’s own confirmed rates; equipment, data-access and clinical/regulatory lines are partner estimates. What remains PENDING is the formal, signed cost table and person-month allocation from each partner, plus linked-third-party site costs — the totals are expected to move within roughly ±10% at sign-off, not to change shape.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91"/>
        <w:gridCol w:w="1394"/>
        <w:gridCol w:w="1494"/>
        <w:gridCol w:w="1593"/>
        <w:gridCol w:w="1294"/>
        <w:gridCol w:w="1394"/>
      </w:tblGrid>
      <w:tr>
        <w:trPr>
          <w:cantSplit/>
          <w:tblHeader/>
        </w:trPr>
        <w:tc>
          <w:tcPr>
            <w:tcW w:type="dxa" w:w="2191"/>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Partner</w:t>
            </w:r>
          </w:p>
        </w:tc>
        <w:tc>
          <w:tcPr>
            <w:tcW w:type="dxa" w:w="139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Personnel</w:t>
            </w:r>
          </w:p>
        </w:tc>
        <w:tc>
          <w:tcPr>
            <w:tcW w:type="dxa" w:w="149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Equipment &amp; data</w:t>
            </w:r>
          </w:p>
        </w:tc>
        <w:tc>
          <w:tcPr>
            <w:tcW w:type="dxa" w:w="1593"/>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Clinical &amp; regulatory</w:t>
            </w:r>
          </w:p>
        </w:tc>
        <w:tc>
          <w:tcPr>
            <w:tcW w:type="dxa" w:w="129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Other direct</w:t>
            </w:r>
          </w:p>
        </w:tc>
        <w:tc>
          <w:tcPr>
            <w:tcW w:type="dxa" w:w="139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Total (planning)</w:t>
            </w:r>
          </w:p>
        </w:tc>
      </w:tr>
      <w:tr>
        <w:trPr>
          <w:cantSplit/>
        </w:trPr>
        <w:tc>
          <w:tcPr>
            <w:tcW w:type="dxa" w:w="219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(coord.)</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€980,000</w:t>
            </w:r>
          </w:p>
        </w:tc>
        <w:tc>
          <w:tcPr>
            <w:tcW w:type="dxa" w:w="14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€140,000</w:t>
            </w:r>
          </w:p>
        </w:tc>
        <w:tc>
          <w:tcPr>
            <w:tcW w:type="dxa" w:w="159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€120,000</w:t>
            </w:r>
          </w:p>
        </w:tc>
        <w:tc>
          <w:tcPr>
            <w:tcW w:type="dxa" w:w="12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€90,000</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€1,330,000</w:t>
            </w:r>
          </w:p>
        </w:tc>
      </w:tr>
      <w:tr>
        <w:trPr>
          <w:cantSplit/>
        </w:trPr>
        <w:tc>
          <w:tcPr>
            <w:tcW w:type="dxa" w:w="219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Medome</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€520,000</w:t>
            </w:r>
          </w:p>
        </w:tc>
        <w:tc>
          <w:tcPr>
            <w:tcW w:type="dxa" w:w="14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€70,000</w:t>
            </w:r>
          </w:p>
        </w:tc>
        <w:tc>
          <w:tcPr>
            <w:tcW w:type="dxa" w:w="159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€60,000</w:t>
            </w:r>
          </w:p>
        </w:tc>
        <w:tc>
          <w:tcPr>
            <w:tcW w:type="dxa" w:w="12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€50,000</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€700,000</w:t>
            </w:r>
          </w:p>
        </w:tc>
      </w:tr>
      <w:tr>
        <w:trPr>
          <w:cantSplit/>
        </w:trPr>
        <w:tc>
          <w:tcPr>
            <w:tcW w:type="dxa" w:w="219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SOAP Health</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€540,000</w:t>
            </w:r>
          </w:p>
        </w:tc>
        <w:tc>
          <w:tcPr>
            <w:tcW w:type="dxa" w:w="14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€60,000</w:t>
            </w:r>
          </w:p>
        </w:tc>
        <w:tc>
          <w:tcPr>
            <w:tcW w:type="dxa" w:w="159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€110,000</w:t>
            </w:r>
          </w:p>
        </w:tc>
        <w:tc>
          <w:tcPr>
            <w:tcW w:type="dxa" w:w="12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€50,000</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€760,000</w:t>
            </w:r>
          </w:p>
        </w:tc>
      </w:tr>
      <w:tr>
        <w:trPr>
          <w:cantSplit/>
        </w:trPr>
        <w:tc>
          <w:tcPr>
            <w:tcW w:type="dxa" w:w="219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GoApercu (SLAM / SleepFM)</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€610,000</w:t>
            </w:r>
          </w:p>
        </w:tc>
        <w:tc>
          <w:tcPr>
            <w:tcW w:type="dxa" w:w="14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€180,000</w:t>
            </w:r>
          </w:p>
        </w:tc>
        <w:tc>
          <w:tcPr>
            <w:tcW w:type="dxa" w:w="159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€90,000</w:t>
            </w:r>
          </w:p>
        </w:tc>
        <w:tc>
          <w:tcPr>
            <w:tcW w:type="dxa" w:w="12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€60,000</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€940,000</w:t>
            </w:r>
          </w:p>
        </w:tc>
      </w:tr>
      <w:tr>
        <w:trPr>
          <w:cantSplit/>
        </w:trPr>
        <w:tc>
          <w:tcPr>
            <w:tcW w:type="dxa" w:w="219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Clinical sites (linked third parties)</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t>
            </w:r>
          </w:p>
        </w:tc>
        <w:tc>
          <w:tcPr>
            <w:tcW w:type="dxa" w:w="14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t>
            </w:r>
          </w:p>
        </w:tc>
        <w:tc>
          <w:tcPr>
            <w:tcW w:type="dxa" w:w="159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€120,000</w:t>
            </w:r>
          </w:p>
        </w:tc>
        <w:tc>
          <w:tcPr>
            <w:tcW w:type="dxa" w:w="12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€120,000</w:t>
            </w:r>
          </w:p>
        </w:tc>
      </w:tr>
      <w:tr>
        <w:trPr>
          <w:cantSplit/>
        </w:trPr>
        <w:tc>
          <w:tcPr>
            <w:tcW w:type="dxa" w:w="2191"/>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TOTAL (planning envelope)</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€2,650,000</w:t>
            </w:r>
          </w:p>
        </w:tc>
        <w:tc>
          <w:tcPr>
            <w:tcW w:type="dxa" w:w="14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€450,000</w:t>
            </w:r>
          </w:p>
        </w:tc>
        <w:tc>
          <w:tcPr>
            <w:tcW w:type="dxa" w:w="159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€500,000</w:t>
            </w:r>
          </w:p>
        </w:tc>
        <w:tc>
          <w:tcPr>
            <w:tcW w:type="dxa" w:w="12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€250,000</w:t>
            </w:r>
          </w:p>
        </w:tc>
        <w:tc>
          <w:tcPr>
            <w:tcW w:type="dxa" w:w="139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€3,850,000</w:t>
            </w:r>
          </w:p>
        </w:tc>
      </w:tr>
    </w:tbl>
    <w:p>
      <w:pPr>
        <w:spacing w:after="160"/>
      </w:pPr>
      <w:r>
        <w:t xml:space="preserve"/>
      </w:r>
    </w:p>
    <w:p>
      <w:pPr>
        <w:pStyle w:val="Heading2"/>
      </w:pPr>
      <w:r>
        <w:t xml:space="preserve">3.8 Budget narrative — justification of each cost line</w:t>
      </w:r>
    </w:p>
    <w:p>
      <w:pPr>
        <w:spacing w:after="140" w:line="276"/>
      </w:pPr>
      <w:r>
        <w:rPr>
          <w:sz w:val="22"/>
          <w:szCs w:val="22"/>
        </w:rPr>
        <w:t xml:space="preserve">This section explains what each cost line buys, how the figure was derived, and where the same figure appears elsewhere in the package. The reference values are the §3.7 table (planning envelope €3,850,000), the Annex C budget items C01–C03, and the deck's closing ask slide. No line item appears anywhere in this package at a value other than the one stated here; where a line is still an estimate, it is labelled as such rather than rounded into apparent precision.</w:t>
      </w:r>
    </w:p>
    <w:p>
      <w:pPr>
        <w:pStyle w:val="Heading3"/>
      </w:pPr>
      <w:r>
        <w:t xml:space="preserve">3.8.1 Personnel — €2,650,000 (68.8% of the envelope)</w:t>
      </w:r>
    </w:p>
    <w:p>
      <w:pPr>
        <w:spacing w:after="140" w:line="276"/>
      </w:pPr>
      <w:r>
        <w:rPr>
          <w:sz w:val="22"/>
          <w:szCs w:val="22"/>
        </w:rPr>
        <w:t xml:space="preserve">Personnel is the dominant line because the project's deliverables are evidence artefacts, not hardware. The figure is built bottom-up from person-months at each partner's own confirmed rate card, not from a top-down percentage. Indicative allocation: AeroGlyphics €980,000 (≈ 96 PM across estimation engineering, WP1 coordination and WP3 leadership); GoApercu €610,000 (≈ 54 PM of machine-learning research for the WP4 foundation-model extension, the most senior-weighted rate basis in the consortium); SOAP Health €540,000 (≈ 52 PM across clinical-workflow engineering and WP5 study conduct); Medome €520,000 (≈ 50 PM across record integration, ontology work and cohort recruitment support). Justification: the critical path is human — radiomic feature derivation, filter design, protocol authoring and regulatory documentation cannot be bought as a service. Grant-funded posts also remove the founding-team dependency described in §3.6 from the project's critical path. Status: the split is AGREED; the signed per-partner cost tables and rate cards are Annex C items C01 and C02, both PENDING at submission minus four weeks.</w:t>
      </w:r>
    </w:p>
    <w:p>
      <w:pPr>
        <w:pStyle w:val="Heading3"/>
      </w:pPr>
      <w:r>
        <w:t xml:space="preserve">3.8.2 Equipment and data access — €450,000 (11.7%)</w:t>
      </w:r>
    </w:p>
    <w:p>
      <w:pPr>
        <w:spacing w:after="140" w:line="276"/>
      </w:pPr>
      <w:r>
        <w:rPr>
          <w:sz w:val="22"/>
          <w:szCs w:val="22"/>
        </w:rPr>
        <w:t xml:space="preserve">This line covers compute and data rather than instruments. GoApercu €180,000 is the largest share and is driven by GPU compute for fine-tuning a multimodal sleep foundation model on ≈ 1,500 project nights plus open corpora (Annex C C13), together with EU-resident weight hosting required by the residency commitment in §3.4. AeroGlyphics €140,000 covers the estimation and filtering training environment, device-heterogeneity test benches across at least four device families (Annex C C05), and secure storage for the derivation and validation imaging sets. Medome €70,000 and SOAP Health €60,000 cover de-identification pipelines, imaging-archive extraction tooling and audit logging. Justification: no line funds general-purpose IT; each element maps to a named deliverable. Status: partner estimates (AGREED), folded into C01.</w:t>
      </w:r>
    </w:p>
    <w:p>
      <w:pPr>
        <w:pStyle w:val="Heading3"/>
      </w:pPr>
      <w:r>
        <w:t xml:space="preserve">3.8.3 Clinical and regulatory — €500,000 (13.0%)</w:t>
      </w:r>
    </w:p>
    <w:p>
      <w:pPr>
        <w:spacing w:after="140" w:line="276"/>
      </w:pPr>
      <w:r>
        <w:rPr>
          <w:sz w:val="22"/>
          <w:szCs w:val="22"/>
        </w:rPr>
        <w:t xml:space="preserve">This line funds the evidence chain that makes the output usable clinically rather than merely publishable. SOAP Health €110,000 covers prospective study conduct, clinician usability work with the 30-clinician sample, and CRF and monitoring costs. AeroGlyphics €120,000 covers the MDR technical file, the EU AI Act high-risk conformity work described in Annex D, notified-body pre-submission interaction and the quality-management system. GoApercu €90,000 covers model-card production, bias and subgroup evaluation, and post-market performance-monitoring design. Medome €60,000 covers DPIA execution, DPA drafting per data flow and data-subject-rights tooling. Clinical sites, as linked third parties, hold €120,000 for ethics submissions, CPET sessions, imaging retrieval and site staff time. Justification: the conservative regulatory posture adopted at M1 is more expensive up front than a wellness framing and is budgeted honestly rather than deferred. Status: the €120,000 site figure is the single most movable number in the table — it is Annex C item C03, PENDING, and it blocks C01.</w:t>
      </w:r>
    </w:p>
    <w:p>
      <w:pPr>
        <w:pStyle w:val="Heading3"/>
      </w:pPr>
      <w:r>
        <w:t xml:space="preserve">3.8.4 Other direct costs — €250,000 (6.5%)</w:t>
      </w:r>
    </w:p>
    <w:p>
      <w:pPr>
        <w:spacing w:after="140" w:line="276"/>
      </w:pPr>
      <w:r>
        <w:rPr>
          <w:sz w:val="22"/>
          <w:szCs w:val="22"/>
        </w:rPr>
        <w:t xml:space="preserve">Travel for the monthly Steering Committee and quarterly technical reviews, the annual external advisory review, open-access publication charges for the committed publications (including the pre-registered negative result at the M24 checkpoint), consortium legal costs for the agreement and the licence amendment, and dissemination under WP7. Split €90,000 / €60,000 / €50,000 / €50,000 across AeroGlyphics, GoApercu, Medome and SOAP Health respectively. Justification: publication and dissemination costs are budgeted rather than assumed absorbed, because the commitment to publish the negative result is a substantive part of the proposal's credibility.</w:t>
      </w:r>
    </w:p>
    <w:p>
      <w:pPr>
        <w:pStyle w:val="Heading3"/>
      </w:pPr>
      <w:r>
        <w:t xml:space="preserve">3.8.5 Cross-document consistency and change control</w:t>
      </w:r>
    </w:p>
    <w:p>
      <w:pPr>
        <w:spacing w:after="140" w:line="276"/>
      </w:pPr>
      <w:r>
        <w:rPr>
          <w:sz w:val="22"/>
          <w:szCs w:val="22"/>
        </w:rPr>
        <w:t xml:space="preserve">Consistency rule: €3.85M, the four cost-category totals, and the five per-partner totals are the only budget figures used anywhere in this package — in §3.7, in this narrative, in Annex A (which states that no cost is charged twice across the EU and US tracks), in Annex C (C01–C03), and on the deck's budget and ask slides. Any change to a line item is applied to all five locations in the same revision, and the revision is recorded against the Annex C item that owns the figure. Expected movement at sign-off is roughly ±10% on individual lines with the envelope held constant; if a signed partner table would push the envelope itself, the coordinator rebalances within the envelope rather than restating the ask.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2900"/>
        <w:gridCol w:w="1900"/>
        <w:gridCol w:w="1260"/>
      </w:tblGrid>
      <w:tr>
        <w:trPr>
          <w:cantSplit/>
          <w:tblHeader/>
        </w:trPr>
        <w:tc>
          <w:tcPr>
            <w:tcW w:type="dxa" w:w="20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Cost line</w:t>
            </w:r>
          </w:p>
        </w:tc>
        <w:tc>
          <w:tcPr>
            <w:tcW w:type="dxa" w:w="13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Value</w:t>
            </w:r>
          </w:p>
        </w:tc>
        <w:tc>
          <w:tcPr>
            <w:tcW w:type="dxa" w:w="29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Basis of estimate</w:t>
            </w:r>
          </w:p>
        </w:tc>
        <w:tc>
          <w:tcPr>
            <w:tcW w:type="dxa" w:w="19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Confidence</w:t>
            </w:r>
          </w:p>
        </w:tc>
        <w:tc>
          <w:tcPr>
            <w:tcW w:type="dxa" w:w="12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Annex C owner item</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Personnel</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€2,650,000</w:t>
            </w:r>
          </w:p>
        </w:tc>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Person-months × partner rate cards, bottom-up</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 rate cards unsigned</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C01, C02</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Equipment &amp; data access</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€450,000</w:t>
            </w:r>
          </w:p>
        </w:tc>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Compute quotations and storage estimates per partner</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Partner estimate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C01</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Clinical &amp; regulatory</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€500,000</w:t>
            </w:r>
          </w:p>
        </w:tc>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Study-conduct costing plus regulatory scope of work</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Partner estimate; site share unconfirmed</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C01, C03</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Other direct</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€250,000</w:t>
            </w:r>
          </w:p>
        </w:tc>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Travel, open-access APCs, legal, dissemination</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Partner estimate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C01</w:t>
            </w:r>
          </w:p>
        </w:tc>
      </w:tr>
      <w:tr>
        <w:trPr>
          <w:cantSplit/>
        </w:trP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TOTAL</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€3,850,000</w:t>
            </w:r>
          </w:p>
        </w:tc>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Consortium-agreed planning envelope</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 not yet countersigned</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C01</w:t>
            </w:r>
          </w:p>
        </w:tc>
      </w:tr>
    </w:tbl>
    <w:p>
      <w:pPr>
        <w:spacing w:after="160"/>
      </w:pPr>
      <w:r>
        <w:t xml:space="preserve"/>
      </w:r>
    </w:p>
    <w:p>
      <w:r>
        <w:br w:type="page"/>
      </w:r>
    </w:p>
    <w:p>
      <w:pPr>
        <w:pStyle w:val="Heading1"/>
        <w:pBdr>
          <w:bottom w:val="single" w:color="0E5F55" w:sz="6" w:space="6"/>
        </w:pBdr>
      </w:pPr>
      <w:r>
        <w:t xml:space="preserve">Annex A — Alignment with US non-dilutive funding (SBIR / NIH / NSF)</w:t>
      </w:r>
    </w:p>
    <w:p>
      <w:pPr>
        <w:spacing w:after="140" w:line="276"/>
      </w:pPr>
      <w:r>
        <w:rPr>
          <w:sz w:val="22"/>
          <w:szCs w:val="22"/>
        </w:rPr>
        <w:t xml:space="preserve">The programme is deliberately structured so that the same scientific core qualifies on both sides of the Atlantic, with distinct legal entities, distinct budgets and no double-funding of the same work package. The EU grant funds the European clinical validation, the EU-resident model and the MDR / AI Act evidence chain. The US applications fund the US-population validation, the FDA pathway and the reimbursement wedge.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2600"/>
        <w:gridCol w:w="4660"/>
      </w:tblGrid>
      <w:tr>
        <w:trPr>
          <w:cantSplit/>
          <w:tblHeader/>
        </w:trPr>
        <w:tc>
          <w:tcPr>
            <w:tcW w:type="dxa" w:w="21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Programme</w:t>
            </w:r>
          </w:p>
        </w:tc>
        <w:tc>
          <w:tcPr>
            <w:tcW w:type="dxa" w:w="260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Fit</w:t>
            </w:r>
          </w:p>
        </w:tc>
        <w:tc>
          <w:tcPr>
            <w:tcW w:type="dxa" w:w="4660"/>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Proposed scope (non-overlapping)</w:t>
            </w:r>
          </w:p>
        </w:tc>
      </w:tr>
      <w:tr>
        <w:trPr>
          <w:cantSplit/>
        </w:trP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NIH SBIR Phase I (NHLBI / NIA)</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Strong. Cardiorespiratory fitness as a mortality predictor sits squarely in NHLBI's remit; age-related VO₂ max decline sits in NIA's.</w:t>
            </w:r>
          </w:p>
        </w:tc>
        <w:tc>
          <w:tcPr>
            <w:tcW w:type="dxa" w:w="4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Feasibility of the filtered VO₂ trajectory in a US cohort with paired CPET; specific aims mirror WP3 but on US data. Indicative $300–500K, 6–12 months.</w:t>
            </w:r>
          </w:p>
        </w:tc>
      </w:tr>
      <w:tr>
        <w:trPr>
          <w:cantSplit/>
        </w:trP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NIH SBIR Phase II</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Contingent on Phase I milestones.</w:t>
            </w:r>
          </w:p>
        </w:tc>
        <w:tc>
          <w:tcPr>
            <w:tcW w:type="dxa" w:w="4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Powered prospective validation and clinical-workflow trial; feeds the FDA submission rather than the EU technical file.</w:t>
            </w:r>
          </w:p>
        </w:tc>
      </w:tr>
      <w:tr>
        <w:trPr>
          <w:cantSplit/>
        </w:trP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NSF SBIR / STTR</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Strong on the methods contribution.</w:t>
            </w:r>
          </w:p>
        </w:tc>
        <w:tc>
          <w:tcPr>
            <w:tcW w:type="dxa" w:w="4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State-space estimation under device heterogeneity and calibration of uncertainty in free-living physiological signals — framed as a measurement-science contribution, with an academic STTR partner.</w:t>
            </w:r>
          </w:p>
        </w:tc>
      </w:tr>
      <w:tr>
        <w:trPr>
          <w:cantSplit/>
        </w:trPr>
        <w:tc>
          <w:tcPr>
            <w:tcW w:type="dxa" w:w="2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NIH R01 / R21 (academic partner-led)</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Appropriate for the imaging anchor.</w:t>
            </w:r>
          </w:p>
        </w:tc>
        <w:tc>
          <w:tcPr>
            <w:tcW w:type="dxa" w:w="46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CT-derived VO₂ max estimation as an independent investigator-initiated study, led by the academic institution, with the company as a subaward.</w:t>
            </w:r>
          </w:p>
        </w:tc>
      </w:tr>
    </w:tbl>
    <w:p>
      <w:pPr>
        <w:spacing w:after="160"/>
      </w:pPr>
      <w:r>
        <w:t xml:space="preserve"/>
      </w:r>
    </w:p>
    <w:p>
      <w:pPr>
        <w:spacing w:after="140" w:line="276"/>
      </w:pPr>
      <w:r>
        <w:rPr>
          <w:sz w:val="22"/>
          <w:szCs w:val="22"/>
        </w:rPr>
        <w:t xml:space="preserve">Compliance commitments carried across both tracks: no cost is charged twice; each application discloses the other in its Other Support / current-and-pending sections; data flows between the EU and US entities occur only under an executed data-processing agreement with no raw personal health data replication; and the model card and evidence packet format is shared so a single technical artefact satisfies both the EU technical file and the FDA submission.</w:t>
      </w:r>
    </w:p>
    <w:p>
      <w:pPr>
        <w:spacing w:after="140" w:line="276"/>
      </w:pPr>
      <w:r>
        <w:rPr>
          <w:sz w:val="22"/>
          <w:szCs w:val="22"/>
        </w:rPr>
        <w:t xml:space="preserve">US regulatory path. SaMD via the 510(k) or De Novo route, with predicate mapping performed with regulatory counsel at project start, and reimbursement targeted at the existing RPM code set (99453/99454/99457/99458) rather than a new code application.</w:t>
      </w:r>
    </w:p>
    <w:p>
      <w:pPr>
        <w:spacing w:after="160"/>
      </w:pPr>
      <w:r>
        <w:t xml:space="preserve"/>
      </w:r>
    </w:p>
    <w:p>
      <w:pPr>
        <w:pStyle w:val="Heading1"/>
        <w:pBdr>
          <w:bottom w:val="single" w:color="0E5F55" w:sz="6" w:space="6"/>
        </w:pBdr>
      </w:pPr>
      <w:r>
        <w:t xml:space="preserve">Annex B — Key references</w:t>
      </w:r>
    </w:p>
    <w:p>
      <w:pPr>
        <w:spacing w:after="90" w:line="260"/>
        <w:ind w:left="360" w:hanging="360"/>
      </w:pPr>
      <w:r>
        <w:rPr>
          <w:sz w:val="20"/>
          <w:szCs w:val="20"/>
        </w:rPr>
        <w:t xml:space="preserve">Mandsager K, et al. Association of cardiorespiratory fitness with long-term mortality among adults undergoing exercise treadmill testing. JAMA Netw Open. 2018;1(6):e183605. (n = 122,007)</w:t>
      </w:r>
    </w:p>
    <w:p>
      <w:pPr>
        <w:spacing w:after="90" w:line="260"/>
        <w:ind w:left="360" w:hanging="360"/>
      </w:pPr>
      <w:r>
        <w:rPr>
          <w:sz w:val="20"/>
          <w:szCs w:val="20"/>
        </w:rPr>
        <w:t xml:space="preserve">Kokkinos P, et al. Cardiorespiratory fitness and mortality risk across the spectra of age, race, and sex. J Am Coll Cardiol. 2022. (n ≈ 750,000)</w:t>
      </w:r>
    </w:p>
    <w:p>
      <w:pPr>
        <w:spacing w:after="90" w:line="260"/>
        <w:ind w:left="360" w:hanging="360"/>
      </w:pPr>
      <w:r>
        <w:rPr>
          <w:sz w:val="20"/>
          <w:szCs w:val="20"/>
        </w:rPr>
        <w:t xml:space="preserve">Kodama S, et al. Cardiorespiratory fitness as a quantitative predictor of all-cause mortality and cardiovascular events. JAMA. 2009;301(19):2024–2035. (n = 102,980)</w:t>
      </w:r>
    </w:p>
    <w:p>
      <w:pPr>
        <w:spacing w:after="90" w:line="260"/>
        <w:ind w:left="360" w:hanging="360"/>
      </w:pPr>
      <w:r>
        <w:rPr>
          <w:sz w:val="20"/>
          <w:szCs w:val="20"/>
        </w:rPr>
        <w:t xml:space="preserve">Blair SN, et al. Changes in physical fitness and all-cause mortality. JAMA. 1995;273(14):1093–1098.</w:t>
      </w:r>
    </w:p>
    <w:p>
      <w:pPr>
        <w:spacing w:after="90" w:line="260"/>
        <w:ind w:left="360" w:hanging="360"/>
      </w:pPr>
      <w:r>
        <w:rPr>
          <w:sz w:val="20"/>
          <w:szCs w:val="20"/>
        </w:rPr>
        <w:t xml:space="preserve">Ross R, et al. Importance of assessing cardiorespiratory fitness in clinical practice: a case for fitness as a clinical vital sign. Circulation (AHA Scientific Statement). 2016.</w:t>
      </w:r>
    </w:p>
    <w:p>
      <w:pPr>
        <w:spacing w:after="90" w:line="260"/>
        <w:ind w:left="360" w:hanging="360"/>
      </w:pPr>
      <w:r>
        <w:rPr>
          <w:sz w:val="20"/>
          <w:szCs w:val="20"/>
        </w:rPr>
        <w:t xml:space="preserve">Kaminsky LA, et al. Reference standards for cardiorespiratory fitness measured with CPET: the FRIEND registry. Mayo Clin Proc. 2015.</w:t>
      </w:r>
    </w:p>
    <w:p>
      <w:pPr>
        <w:spacing w:after="90" w:line="260"/>
        <w:ind w:left="360" w:hanging="360"/>
      </w:pPr>
      <w:r>
        <w:rPr>
          <w:sz w:val="20"/>
          <w:szCs w:val="20"/>
        </w:rPr>
        <w:t xml:space="preserve">Tanaka H, Monahan KD, Seals DR. Age-predicted maximal heart rate revisited. J Am Coll Cardiol. 2001;37(1):153–156.</w:t>
      </w:r>
    </w:p>
    <w:p>
      <w:pPr>
        <w:spacing w:after="90" w:line="260"/>
        <w:ind w:left="360" w:hanging="360"/>
      </w:pPr>
      <w:r>
        <w:rPr>
          <w:sz w:val="20"/>
          <w:szCs w:val="20"/>
        </w:rPr>
        <w:t xml:space="preserve">Uth N, Sørensen H, Overgaard K, Pedersen PK. Estimation of VO₂ max from the ratio between HRmax and HRrest. Eur J Appl Physiol. 2004.</w:t>
      </w:r>
    </w:p>
    <w:p>
      <w:pPr>
        <w:spacing w:after="90" w:line="260"/>
        <w:ind w:left="360" w:hanging="360"/>
      </w:pPr>
      <w:r>
        <w:rPr>
          <w:sz w:val="20"/>
          <w:szCs w:val="20"/>
        </w:rPr>
        <w:t xml:space="preserve">Spathis D, et al. Longitudinal cardio-respiratory fitness prediction through wearables in free-living environments. npj Digit Med. 2022.</w:t>
      </w:r>
    </w:p>
    <w:p>
      <w:pPr>
        <w:spacing w:after="90" w:line="260"/>
        <w:ind w:left="360" w:hanging="360"/>
      </w:pPr>
      <w:r>
        <w:rPr>
          <w:sz w:val="20"/>
          <w:szCs w:val="20"/>
        </w:rPr>
        <w:t xml:space="preserve">SleepFM: a multimodal sleep foundation model for disease prediction. Nature Medicine, 2025/2026. (585,000+ hours PSG; ~65,000 participants)</w:t>
      </w:r>
    </w:p>
    <w:p>
      <w:pPr>
        <w:spacing w:after="90" w:line="260"/>
        <w:ind w:left="360" w:hanging="360"/>
      </w:pPr>
      <w:r>
        <w:rPr>
          <w:sz w:val="20"/>
          <w:szCs w:val="20"/>
        </w:rPr>
        <w:t xml:space="preserve">Tillinghast J. Sparse Laplace Approximation Method (SLAM). arXiv:1504.06352v2.</w:t>
      </w:r>
    </w:p>
    <w:p>
      <w:pPr>
        <w:spacing w:after="90" w:line="260"/>
        <w:ind w:left="360" w:hanging="360"/>
      </w:pPr>
      <w:r>
        <w:rPr>
          <w:sz w:val="20"/>
          <w:szCs w:val="20"/>
        </w:rPr>
        <w:t xml:space="preserve">American Diabetes Association. Economic costs of diabetes in the U.S. in 2022. Diabetes Care. 2023. ($412.9B)</w:t>
      </w:r>
    </w:p>
    <w:p>
      <w:pPr>
        <w:spacing w:after="90" w:line="260"/>
        <w:ind w:left="360" w:hanging="360"/>
      </w:pPr>
      <w:r>
        <w:rPr>
          <w:sz w:val="20"/>
          <w:szCs w:val="20"/>
        </w:rPr>
        <w:t xml:space="preserve">American Heart Association. Forecasting the burden of cardiovascular disease to 2050. Circulation. 2024.</w:t>
      </w:r>
    </w:p>
    <w:p>
      <w:pPr>
        <w:spacing w:after="90" w:line="260"/>
        <w:ind w:left="360" w:hanging="360"/>
      </w:pPr>
      <w:r>
        <w:rPr>
          <w:sz w:val="20"/>
          <w:szCs w:val="20"/>
        </w:rPr>
        <w:t xml:space="preserve">Aton E. CT-derived VO₂ max estimation. MD thesis (in progress). eangelica.life/academic</w:t>
      </w:r>
    </w:p>
    <w:p>
      <w:pPr>
        <w:spacing w:after="160"/>
      </w:pPr>
      <w:r>
        <w:t xml:space="preserve"/>
      </w:r>
    </w:p>
    <w:p>
      <w:pPr>
        <w:pStyle w:val="Heading1"/>
        <w:pBdr>
          <w:bottom w:val="single" w:color="0E5F55" w:sz="6" w:space="6"/>
        </w:pBdr>
      </w:pPr>
      <w:r>
        <w:t xml:space="preserve">Annex C — Partner-confirmation checklist</w:t>
      </w:r>
    </w:p>
    <w:p>
      <w:pPr>
        <w:spacing w:after="140" w:line="276"/>
      </w:pPr>
      <w:r>
        <w:rPr>
          <w:i/>
          <w:iCs/>
          <w:sz w:val="22"/>
          <w:szCs w:val="22"/>
        </w:rPr>
        <w:t xml:space="preserve">Every quantitative or contractual input the proposal depends on is registered below with a single accountable owner, a confirmation status and the evidence that closes it. CONFIRMED means a named partner has supplied the figure with a dated source. AGREED means the consortium has adopted a planning value that no external party has yet countersigned. PENDING means the item must be closed before the stated gate; nothing marked PENDING may be used in external communication.</w:t>
      </w:r>
    </w:p>
    <w:p>
      <w:pPr>
        <w:spacing w:after="160"/>
      </w:pPr>
      <w:r>
        <w:t xml:space="preserve"/>
      </w:r>
    </w:p>
    <w:p>
      <w:pPr>
        <w:pStyle w:val="Heading2"/>
      </w:pPr>
      <w:r>
        <w:t xml:space="preserve">C.1 Budget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3"/>
        <w:gridCol w:w="2224"/>
        <w:gridCol w:w="1668"/>
        <w:gridCol w:w="1668"/>
        <w:gridCol w:w="1297"/>
        <w:gridCol w:w="2039"/>
      </w:tblGrid>
      <w:tr>
        <w:trPr>
          <w:cantSplit/>
          <w:tblHeader/>
        </w:trPr>
        <w:tc>
          <w:tcPr>
            <w:tcW w:type="dxa" w:w="463"/>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222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Item</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Current value</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Owner</w:t>
            </w:r>
          </w:p>
        </w:tc>
        <w:tc>
          <w:tcPr>
            <w:tcW w:type="dxa" w:w="129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Status</w:t>
            </w:r>
          </w:p>
        </w:tc>
        <w:tc>
          <w:tcPr>
            <w:tcW w:type="dxa" w:w="2039"/>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Evidence / link</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C01</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Per-partner signed cost table and person-month allocation</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€3.85M envelope; split per §3.7</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(AeroGlyphics) collating; each partner CFO signs own line</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due at submission minus 4 weeks</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Cost-table workbook, one tab per partner, countersigned PDF</w:t>
            </w:r>
          </w:p>
          <w:p>
            <w:pPr>
              <w:spacing w:after="20" w:line="250"/>
            </w:pPr>
            <w:r>
              <w:rPr>
                <w:b w:val="false"/>
                <w:bCs w:val="false"/>
                <w:sz w:val="19"/>
                <w:szCs w:val="19"/>
              </w:rPr>
              <w:t xml:space="preserve">drive://mvs-cardio/annexC/budget/</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C02</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Personnel rate cards and indirect-cost basis per partner</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Built into §3.7 personnel lines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Each partner finance lead</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Payroll-derived rate card per partner (confidential annex)</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C03</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Linked-third-party clinical site costs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€120,000 planning value</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Clinical partner site leads via WP5 lead (SOAP Health)</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blocks C01</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Site budget templates returned by each site</w:t>
            </w:r>
          </w:p>
        </w:tc>
      </w:tr>
    </w:tbl>
    <w:p>
      <w:pPr>
        <w:spacing w:after="160"/>
      </w:pPr>
      <w:r>
        <w:t xml:space="preserve"/>
      </w:r>
    </w:p>
    <w:p>
      <w:pPr>
        <w:pStyle w:val="Heading2"/>
      </w:pPr>
      <w:r>
        <w:t xml:space="preserve">C.2 Cohort sizes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3"/>
        <w:gridCol w:w="2224"/>
        <w:gridCol w:w="1668"/>
        <w:gridCol w:w="1668"/>
        <w:gridCol w:w="1297"/>
        <w:gridCol w:w="2039"/>
      </w:tblGrid>
      <w:tr>
        <w:trPr>
          <w:cantSplit/>
          <w:tblHeader/>
        </w:trPr>
        <w:tc>
          <w:tcPr>
            <w:tcW w:type="dxa" w:w="463"/>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222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Item</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Current value</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Owner</w:t>
            </w:r>
          </w:p>
        </w:tc>
        <w:tc>
          <w:tcPr>
            <w:tcW w:type="dxa" w:w="129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Status</w:t>
            </w:r>
          </w:p>
        </w:tc>
        <w:tc>
          <w:tcPr>
            <w:tcW w:type="dxa" w:w="2039"/>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Evidence / link</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C04</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WP2 retrospective imaging cohort: derivation and external validation</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600 derivation + 200 external, ≥ 3 scanner vendors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Thesis lead (E. Aton) with imaging-site data custodians</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(planning) — feasibility counts PENDING by M1</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Imaging-archive feasibility query output per site</w:t>
            </w:r>
          </w:p>
          <w:p>
            <w:pPr>
              <w:spacing w:after="20" w:line="250"/>
            </w:pPr>
            <w:r>
              <w:rPr>
                <w:b w:val="false"/>
                <w:bCs w:val="false"/>
                <w:sz w:val="19"/>
                <w:szCs w:val="19"/>
              </w:rPr>
              <w:t xml:space="preserve">eangelica.life/academic · pre-registered analysis plan</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C05</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WP3 free-living wearable cohort</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500, ≥ 12 weeks wear, ≥ 4 device families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(WP3 lead) with Medome for recruitment</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 per-device recruitment split PENDING</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Recruitment plan + Medome cohort-availability report</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C06</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WP5 prospective validation cohort and clinician usability sample</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240 participants (analysis set ≥ 200); 30 clinicians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SOAP Health (WP5 lead) with site principal investigators</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ethics submissions due M4, gate MS1</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Ethics submission IDs and approval letters per site</w:t>
            </w:r>
          </w:p>
          <w:p>
            <w:pPr>
              <w:spacing w:after="20" w:line="250"/>
            </w:pPr>
            <w:r>
              <w:rPr>
                <w:b w:val="false"/>
                <w:bCs w:val="false"/>
                <w:sz w:val="19"/>
                <w:szCs w:val="19"/>
              </w:rPr>
              <w:t xml:space="preserve">Site feasibility and staffing confirmation</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C13</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WP4 fine-tuning night count from project cohorts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 = 1,500 nights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GoApercu</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conditional on C07</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PSG availability report from WP5 sites + open-corpus inventory</w:t>
            </w:r>
          </w:p>
        </w:tc>
      </w:tr>
    </w:tbl>
    <w:p>
      <w:pPr>
        <w:spacing w:after="160"/>
      </w:pPr>
      <w:r>
        <w:t xml:space="preserve"/>
      </w:r>
    </w:p>
    <w:p>
      <w:pPr>
        <w:pStyle w:val="Heading2"/>
      </w:pPr>
      <w:r>
        <w:t xml:space="preserve">C.3 Licence scope and legal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3"/>
        <w:gridCol w:w="2224"/>
        <w:gridCol w:w="1668"/>
        <w:gridCol w:w="1668"/>
        <w:gridCol w:w="1297"/>
        <w:gridCol w:w="2039"/>
      </w:tblGrid>
      <w:tr>
        <w:trPr>
          <w:cantSplit/>
          <w:tblHeader/>
        </w:trPr>
        <w:tc>
          <w:tcPr>
            <w:tcW w:type="dxa" w:w="463"/>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222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Item</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Current value</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Owner</w:t>
            </w:r>
          </w:p>
        </w:tc>
        <w:tc>
          <w:tcPr>
            <w:tcW w:type="dxa" w:w="129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Status</w:t>
            </w:r>
          </w:p>
        </w:tc>
        <w:tc>
          <w:tcPr>
            <w:tcW w:type="dxa" w:w="2039"/>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Evidence / link</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C07</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SleepFM licence: commercial and EEA deployment extension</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Research/academic use CONFIRMED; commercial + EU deployment and partner sublicensing under negotiation</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GoApercu (licence holder of record)</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required before WP4 start, M6</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Executed licence amendment; Stanford OTL correspondence</w:t>
            </w:r>
          </w:p>
          <w:p>
            <w:pPr>
              <w:spacing w:after="20" w:line="250"/>
            </w:pPr>
            <w:r>
              <w:rPr>
                <w:b w:val="false"/>
                <w:bCs w:val="false"/>
                <w:sz w:val="19"/>
                <w:szCs w:val="19"/>
              </w:rPr>
              <w:t xml:space="preserve">Fallback memo: openly-licensed encoder substitution</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C08</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Consortium agreement: background IP, foreground ownership, access rights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Drafted; unsigned</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legal counsel</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before grant signature, D1.1</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Signature pages, all partners</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C12</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Legal entity names, PIC numbers, establishment countries, eligibility</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Not yet collected</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with each partner</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blocks submission</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PIC registration screenshots + entity registry extracts</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C14</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Data-processing agreements for EU–US transfers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Drafted</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DPO</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before any prospective collection</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Executed DPA per data flow; DPIA sign-off</w:t>
            </w:r>
          </w:p>
        </w:tc>
      </w:tr>
    </w:tbl>
    <w:p>
      <w:pPr>
        <w:spacing w:after="160"/>
      </w:pPr>
      <w:r>
        <w:t xml:space="preserve"/>
      </w:r>
    </w:p>
    <w:p>
      <w:pPr>
        <w:pStyle w:val="Heading2"/>
      </w:pPr>
      <w:r>
        <w:t xml:space="preserve">C.4 Traction and market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3"/>
        <w:gridCol w:w="2224"/>
        <w:gridCol w:w="1668"/>
        <w:gridCol w:w="1668"/>
        <w:gridCol w:w="1297"/>
        <w:gridCol w:w="2039"/>
      </w:tblGrid>
      <w:tr>
        <w:trPr>
          <w:cantSplit/>
          <w:tblHeader/>
        </w:trPr>
        <w:tc>
          <w:tcPr>
            <w:tcW w:type="dxa" w:w="463"/>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222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Item</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Current value</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Owner</w:t>
            </w:r>
          </w:p>
        </w:tc>
        <w:tc>
          <w:tcPr>
            <w:tcW w:type="dxa" w:w="129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Status</w:t>
            </w:r>
          </w:p>
        </w:tc>
        <w:tc>
          <w:tcPr>
            <w:tcW w:type="dxa" w:w="2039"/>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Evidence / link</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C09</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beta traction</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42 beta users across 3 clinical partner sites; pre-revenue</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CONFIRMED (Jul 2026) — restate with dates and denominators at submission</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YC pitch deck, Jul 2026 · aeroglyphics.dev</w:t>
            </w:r>
          </w:p>
          <w:p>
            <w:pPr>
              <w:spacing w:after="20" w:line="250"/>
            </w:pPr>
            <w:r>
              <w:rPr>
                <w:b w:val="false"/>
                <w:bCs w:val="false"/>
                <w:sz w:val="19"/>
                <w:szCs w:val="19"/>
              </w:rPr>
              <w:t xml:space="preserve">Beta cohort export with enrolment dates</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C10</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Internal agreement of estimates vs CPET</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Not claimed. r ≈ 0.82 belongs to the Fenland study (Spathis, npj Digit Med 2022), not to AeroGlyphics internal data.</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CONFIRMED as an attribution correction; internal figure PENDING until WP3 paired-CPET data exists</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Spathis et al., npj Digit Med 2022</w:t>
            </w:r>
          </w:p>
          <w:p>
            <w:pPr>
              <w:spacing w:after="20" w:line="250"/>
            </w:pPr>
            <w:r>
              <w:rPr>
                <w:b w:val="false"/>
                <w:bCs w:val="false"/>
                <w:sz w:val="19"/>
                <w:szCs w:val="19"/>
              </w:rPr>
              <w:t xml:space="preserve">WP3 benchmark report D3.2 (future evidence)</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C11</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Cardiovascular digital-health market size</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$42.4B (2024) → ~$141B (2030), single source</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(commercial lead)</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second independent source required before external use</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Grand View Research report + one of IQVIA / Rock Health / Frost &amp; Sullivan</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C15</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Revenue and reimbursement projections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Year-3 ARR target $6–12M; RPM $120+/patient/month</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with SOAP Health for the RPM basis</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CONFIRMED as a target (not a forecast); RPM rate CONFIRMED against CMS schedule</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YC deck, Jul 2026 · CMS Physician Fee Schedule 2026, codes 99453/54/57/58</w:t>
            </w:r>
          </w:p>
        </w:tc>
      </w:tr>
    </w:tbl>
    <w:p>
      <w:pPr>
        <w:spacing w:after="160"/>
      </w:pPr>
      <w:r>
        <w:t xml:space="preserve"/>
      </w:r>
    </w:p>
    <w:p>
      <w:pPr>
        <w:pStyle w:val="Heading2"/>
      </w:pPr>
      <w:r>
        <w:t xml:space="preserve">C.5 Scientific and regulatory personnel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3"/>
        <w:gridCol w:w="2224"/>
        <w:gridCol w:w="1668"/>
        <w:gridCol w:w="1668"/>
        <w:gridCol w:w="1297"/>
        <w:gridCol w:w="2039"/>
      </w:tblGrid>
      <w:tr>
        <w:trPr>
          <w:cantSplit/>
          <w:tblHeader/>
        </w:trPr>
        <w:tc>
          <w:tcPr>
            <w:tcW w:type="dxa" w:w="463"/>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222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Item</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Current value</w:t>
            </w:r>
          </w:p>
        </w:tc>
        <w:tc>
          <w:tcPr>
            <w:tcW w:type="dxa" w:w="1668"/>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Owner</w:t>
            </w:r>
          </w:p>
        </w:tc>
        <w:tc>
          <w:tcPr>
            <w:tcW w:type="dxa" w:w="129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Status</w:t>
            </w:r>
          </w:p>
        </w:tc>
        <w:tc>
          <w:tcPr>
            <w:tcW w:type="dxa" w:w="2039"/>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Evidence / link</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C16</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Named principal investigators and CVs per work package</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WP leads assigned; PIs at clinical sites unnamed</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blocks submission</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Two-page CV per PI; signed commitment letters</w:t>
            </w:r>
          </w:p>
        </w:tc>
      </w:tr>
      <w:tr>
        <w:trPr>
          <w:cantSplit/>
        </w:trPr>
        <w:tc>
          <w:tcPr>
            <w:tcW w:type="dxa" w:w="46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C17</w:t>
            </w:r>
          </w:p>
        </w:tc>
        <w:tc>
          <w:tcPr>
            <w:tcW w:type="dxa" w:w="222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Current-and-pending support disclosure for parallel SBIR / NIH / NSF applications</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Annex A scopes drafted</w:t>
            </w:r>
          </w:p>
        </w:tc>
        <w:tc>
          <w:tcPr>
            <w:tcW w:type="dxa" w:w="1668"/>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with US entity</w:t>
            </w:r>
          </w:p>
        </w:tc>
        <w:tc>
          <w:tcPr>
            <w:tcW w:type="dxa" w:w="129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before first US submission</w:t>
            </w:r>
          </w:p>
        </w:tc>
        <w:tc>
          <w:tcPr>
            <w:tcW w:type="dxa" w:w="203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Other Support pages per investigator; no-double-funding attestation</w:t>
            </w:r>
          </w:p>
        </w:tc>
      </w:tr>
    </w:tbl>
    <w:p>
      <w:pPr>
        <w:spacing w:after="160"/>
      </w:pPr>
      <w:r>
        <w:t xml:space="preserve"/>
      </w:r>
    </w:p>
    <w:p>
      <w:pPr>
        <w:spacing w:after="140" w:line="276"/>
      </w:pPr>
      <w:r>
        <w:rPr>
          <w:b/>
          <w:bCs/>
          <w:sz w:val="22"/>
          <w:szCs w:val="22"/>
        </w:rPr>
        <w:t xml:space="preserve">Gate rule: MS1 (M4) does not pass while C06, C08 or C14 remain open; WP4 does not start while C07 remains open; the proposal is not submitted while C01, C12 or C16 remain open.</w:t>
      </w:r>
    </w:p>
    <w:p>
      <w:pPr>
        <w:sectPr>
          <w:headerReference w:type="default" r:id="rId7"/>
          <w:footerReference w:type="default" r:id="rId8"/>
          <w:pgSz w:w="12240" w:h="15840" w:orient="portrait"/>
          <w:pgMar w:top="1440" w:right="1440" w:bottom="1440" w:left="1440" w:header="708" w:footer="708" w:gutter="0"/>
          <w:pgNumType/>
          <w:docGrid w:linePitch="360"/>
        </w:sectPr>
      </w:pPr>
    </w:p>
    <w:p>
      <w:pPr>
        <w:pStyle w:val="Heading1"/>
        <w:pBdr>
          <w:bottom w:val="single" w:color="0E5F55" w:sz="6" w:space="6"/>
        </w:pBdr>
      </w:pPr>
      <w:r>
        <w:t xml:space="preserve">Annex D — Final regulatory compliance checklist (EU MDR · EU AI Act · GDPR)</w:t>
      </w:r>
    </w:p>
    <w:p>
      <w:pPr>
        <w:spacing w:after="140" w:line="276"/>
      </w:pPr>
      <w:r>
        <w:rPr>
          <w:i/>
          <w:iCs/>
          <w:sz w:val="22"/>
          <w:szCs w:val="22"/>
        </w:rPr>
        <w:t xml:space="preserve">This annex is the submission-gate checklist for the three regulatory regimes the project is exposed to. Each row states the compliance statement the consortium is making, the accountable owner, the current status, the open question that must be resolved to close the row, and the exact place in this package where the supporting text sits. “Supporting text” references are section numbers in this document, Annex C item IDs, or named deck slides — not external documents — so a reviewer can verify every statement without leaving the package.</w:t>
      </w:r>
    </w:p>
    <w:p>
      <w:pPr>
        <w:spacing w:after="140" w:line="276"/>
      </w:pPr>
      <w:r>
        <w:rPr>
          <w:b/>
          <w:bCs/>
          <w:sz w:val="22"/>
          <w:szCs w:val="22"/>
        </w:rPr>
        <w:t xml:space="preserve">Cross-cutting position: the consortium adopts the stricter of any two plausible classifications from M1 rather than seeking the most permissive reading. A wellness or lifestyle framing is explicitly not used as a route around medical-device or high-risk AI obligations, and that decision is recorded in §3.4, §3.5 and Annex D.1 below.</w:t>
      </w:r>
    </w:p>
    <w:p>
      <w:pPr>
        <w:spacing w:after="160"/>
      </w:pPr>
      <w:r>
        <w:t xml:space="preserve"/>
      </w:r>
    </w:p>
    <w:p>
      <w:pPr>
        <w:pStyle w:val="Heading2"/>
      </w:pPr>
      <w:r>
        <w:t xml:space="preserve">D.1 EU Medical Device Regulation (2017/745)</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712"/>
        <w:gridCol w:w="2877"/>
        <w:gridCol w:w="1712"/>
        <w:gridCol w:w="1575"/>
        <w:gridCol w:w="3014"/>
        <w:gridCol w:w="3069"/>
      </w:tblGrid>
      <w:tr>
        <w:trPr>
          <w:cantSplit/>
          <w:tblHeader/>
        </w:trPr>
        <w:tc>
          <w:tcPr>
            <w:tcW w:type="dxa" w:w="712"/>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287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Compliance statement</w:t>
            </w:r>
          </w:p>
        </w:tc>
        <w:tc>
          <w:tcPr>
            <w:tcW w:type="dxa" w:w="1712"/>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Owner</w:t>
            </w:r>
          </w:p>
        </w:tc>
        <w:tc>
          <w:tcPr>
            <w:tcW w:type="dxa" w:w="1575"/>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Status</w:t>
            </w:r>
          </w:p>
        </w:tc>
        <w:tc>
          <w:tcPr>
            <w:tcW w:type="dxa" w:w="301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Open question to close it</w:t>
            </w:r>
          </w:p>
        </w:tc>
        <w:tc>
          <w:tcPr>
            <w:tcW w:type="dxa" w:w="3069"/>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Supporting text in this package</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D01</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The VO₂ max output is treated as software as a medical device with a diagnostic/prognostic intended purpose; no wellness exemption is claimed.</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regulatory lead (WP6)</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CONFIRMED as a posture decision at M1</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None — decision taken; formal classification rationale to be documented as D6.1.</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§3.4 (regulatory posture); §3.5 risk row 3; Annex D preamble; deck slide 11 “Risk”</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D02</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Rule-11 classification assessed conservatively at Class IIa or above; final class fixed with notified-body input rather than self-assertion.</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regulatory lead with notified body</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due M9</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Does the intended purpose as written trigger Class IIa or IIb under Rule 11? Requires notified-body pre-submission feedback.</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§3.4; §3.8.3 (regulatory budget line); Annex C C01</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D03</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Clinical evaluation plan and clinical evidence generated inside the project (WP5 prospective validation, n = 240, analysis set ≥ 200, paired CPET).</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SOAP Health (WP5 lead) with site PIs</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 cohort powered; sites PENDING</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Which sites are confirmed, and do their feasibility counts sustain n = 240 with ≥ 200 analysable?</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§3.3 (cohorts); Annex C C06; deck slide 8</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D04</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Quality management system and post-market performance monitoring designed before first clinical use, not retrofitted.</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regulatory lead; GoApercu for model monitoring</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QMS scope drafted, due M12</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Is a single consortium-level QMS used, or does each partner operate its own with an interface agreement?</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§3.2 WP6; §3.8.3; Annex C C08</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D05</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Change control for model updates: any retrained or refitted model is assessed for significant-change status before release.</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GoApercu with AeroGlyphics regulatory lead</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due before WP4 output release</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What magnitude of performance shift is pre-defined as a significant change requiring re-notification?</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§3.2 WP6 (evidence release &amp; change control); §3.5</w:t>
            </w:r>
          </w:p>
        </w:tc>
      </w:tr>
    </w:tbl>
    <w:p>
      <w:pPr>
        <w:spacing w:after="160"/>
      </w:pPr>
      <w:r>
        <w:t xml:space="preserve"/>
      </w:r>
    </w:p>
    <w:p>
      <w:pPr>
        <w:pStyle w:val="Heading2"/>
      </w:pPr>
      <w:r>
        <w:t xml:space="preserve">D.2 EU AI Act (Regulation 2024/1689)</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712"/>
        <w:gridCol w:w="2877"/>
        <w:gridCol w:w="1712"/>
        <w:gridCol w:w="1575"/>
        <w:gridCol w:w="3014"/>
        <w:gridCol w:w="3069"/>
      </w:tblGrid>
      <w:tr>
        <w:trPr>
          <w:cantSplit/>
          <w:tblHeader/>
        </w:trPr>
        <w:tc>
          <w:tcPr>
            <w:tcW w:type="dxa" w:w="712"/>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287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Compliance statement</w:t>
            </w:r>
          </w:p>
        </w:tc>
        <w:tc>
          <w:tcPr>
            <w:tcW w:type="dxa" w:w="1712"/>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Owner</w:t>
            </w:r>
          </w:p>
        </w:tc>
        <w:tc>
          <w:tcPr>
            <w:tcW w:type="dxa" w:w="1575"/>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Status</w:t>
            </w:r>
          </w:p>
        </w:tc>
        <w:tc>
          <w:tcPr>
            <w:tcW w:type="dxa" w:w="301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Open question to close it</w:t>
            </w:r>
          </w:p>
        </w:tc>
        <w:tc>
          <w:tcPr>
            <w:tcW w:type="dxa" w:w="3069"/>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Supporting text in this package</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D06</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The system is treated as high-risk from M1 by virtue of being a safety component of a regulated medical device (Annex I route), with obligations assumed in full.</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regulatory lead</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CONFIRMED as a posture decision</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None on the posture; the obligation-by-obligation gap analysis is the deliverable.</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§3.4; §3.5 risk row 3; Annex D preamble; deck slide 11</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D07</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Risk-management system, data-governance documentation and technical documentation maintained across the project lifecycle.</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(WP6) with each data-holding partner</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first release M12</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Which partner is the provider of record for the placed-on-market system, and which are component suppliers?</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§3.2 WP6; §3.6 (governance); Annex C C08</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D08</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Training, validation and test data documented for representativeness across scanner vendors, device families, age, sex and comorbidity.</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GoApercu (models) with Medome (record data) and thesis lead (imaging)</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 design in place; subgroup counts PENDING</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Do the achieved cohorts support subgroup performance reporting, or must recruitment be stratified to guarantee it?</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§3.3 (cohort design, ≥ 3 scanner vendors, ≥ 4 device families); Annex C C04, C05, C13</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D09</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Accuracy, robustness and uncertainty are declared, including calibrated uncertainty on every estimate rather than a bare point value.</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AeroGlyphics (WP3 lead)</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 pre-registered at the M24 checkpoint</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Is the accepted floor r ≥ 0.85 vs CPET, and what is the declared uncertainty envelope for a single-day estimate?</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§3.2 WP3; §3.5; deck slide 9 (MS3 checkpoint)</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D10</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Human oversight: the output reaches a clinician inside an existing workflow and is not an autonomous decision; the measured endpoint is acted-upon rate.</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SOAP Health (clinician surface)</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CONFIRMED as a design commitment</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None on design; the usability evidence with 30 clinicians remains to be generated in WP5.</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§3.5 risk row 4; §3.2 WP5; Annex C C06; deck slide 11</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D11</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Transparency: a published model card, logging and traceability sufficient for post-hoc review of any individual estimate.</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GoApercu with AeroGlyphics</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first model card at M18</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Is the model card published openly, or released only within the technical file and to notified bodies?</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§3.2 WP6; Annex A (shared evidence-packet format); §3.8.3</w:t>
            </w:r>
          </w:p>
        </w:tc>
      </w:tr>
    </w:tbl>
    <w:p>
      <w:pPr>
        <w:spacing w:after="160"/>
      </w:pPr>
      <w:r>
        <w:t xml:space="preserve"/>
      </w:r>
    </w:p>
    <w:p>
      <w:pPr>
        <w:pStyle w:val="Heading2"/>
      </w:pPr>
      <w:r>
        <w:t xml:space="preserve">D.3 GDPR and data protection</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712"/>
        <w:gridCol w:w="2877"/>
        <w:gridCol w:w="1712"/>
        <w:gridCol w:w="1575"/>
        <w:gridCol w:w="3014"/>
        <w:gridCol w:w="3069"/>
      </w:tblGrid>
      <w:tr>
        <w:trPr>
          <w:cantSplit/>
          <w:tblHeader/>
        </w:trPr>
        <w:tc>
          <w:tcPr>
            <w:tcW w:type="dxa" w:w="712"/>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ID</w:t>
            </w:r>
          </w:p>
        </w:tc>
        <w:tc>
          <w:tcPr>
            <w:tcW w:type="dxa" w:w="2877"/>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Compliance statement</w:t>
            </w:r>
          </w:p>
        </w:tc>
        <w:tc>
          <w:tcPr>
            <w:tcW w:type="dxa" w:w="1712"/>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Owner</w:t>
            </w:r>
          </w:p>
        </w:tc>
        <w:tc>
          <w:tcPr>
            <w:tcW w:type="dxa" w:w="1575"/>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Status</w:t>
            </w:r>
          </w:p>
        </w:tc>
        <w:tc>
          <w:tcPr>
            <w:tcW w:type="dxa" w:w="3014"/>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Open question to close it</w:t>
            </w:r>
          </w:p>
        </w:tc>
        <w:tc>
          <w:tcPr>
            <w:tcW w:type="dxa" w:w="3069"/>
            <w:tcBorders>
              <w:top w:val="single" w:color="CCCCCC" w:sz="1"/>
              <w:left w:val="single" w:color="CCCCCC" w:sz="1"/>
              <w:bottom w:val="single" w:color="CCCCCC" w:sz="1"/>
              <w:right w:val="single" w:color="CCCCCC" w:sz="1"/>
            </w:tcBorders>
            <w:shd w:fill="E6EFED" w:val="clear"/>
            <w:tcMar>
              <w:top w:type="dxa" w:w="80"/>
              <w:left w:type="dxa" w:w="120"/>
              <w:bottom w:type="dxa" w:w="80"/>
              <w:right w:type="dxa" w:w="120"/>
            </w:tcMar>
          </w:tcPr>
          <w:p>
            <w:pPr>
              <w:spacing w:after="20" w:line="250"/>
            </w:pPr>
            <w:r>
              <w:rPr>
                <w:b/>
                <w:bCs/>
                <w:sz w:val="19"/>
                <w:szCs w:val="19"/>
              </w:rPr>
              <w:t xml:space="preserve">Supporting text in this package</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D12</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Lawful basis established per processing activity; Article 9 health data handled under an explicit research or consent basis per site.</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DPO with site data custodians</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before any collection</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Is the retrospective imaging work covered by a research basis at every site, or does any site require re-consent?</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§3.3; Annex C C06, C14</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D13</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DPIA completed and signed off by the independent Ethics and Data Protection Board before prospective collection begins.</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DPO; Ethics and Data Protection Board</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gate MS1 (M4)</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Does the DPIA need to be repeated per site, or is one consortium DPIA with site annexes acceptable to each supervisory authority?</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§3.6 (Ethics and Data Protection Board); Annex C C14; gate rule at end of Annex C</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D14</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Data-processing agreements executed for every flow, including EU–US flows; no raw personal health data replicated to the US entity.</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Coordinator DPO with US entity counsel</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before any transfer</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Which transfer mechanism is used for the EU–US flow, and is any transfer of pseudonymised derived features in scope?</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Annex A (compliance commitments); Annex C C14; §3.4</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D15</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Data minimisation and de-identification: pipelines strip identifiers at source; only derived features cross partner boundaries where possible.</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Medome (record layer) with each partner</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 tooling budgeted</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Can the imaging derivation run at the custodian site, avoiding image egress entirely?</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§3.8.2 (de-identification pipelines); §3.4</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D16</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Data-subject rights (access, erasure, objection) operable throughout, including for participants in the prospective cohort.</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Medome with SOAP Health for clinician-facing records</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PENDING — due M12</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How is erasure honoured for a participant whose data has already contributed to a trained model?</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§3.8.3 (data-subject-rights tooling); Annex C C14</w:t>
            </w:r>
          </w:p>
        </w:tc>
      </w:tr>
      <w:tr>
        <w:trPr>
          <w:cantSplit/>
        </w:trPr>
        <w:tc>
          <w:tcPr>
            <w:tcW w:type="dxa" w:w="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D17</w:t>
            </w:r>
          </w:p>
        </w:tc>
        <w:tc>
          <w:tcPr>
            <w:tcW w:type="dxa" w:w="287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Model-weight and cohort residency inside the EU regulatory perimeter, as committed in the impact case.</w:t>
            </w:r>
          </w:p>
        </w:tc>
        <w:tc>
          <w:tcPr>
            <w:tcW w:type="dxa" w:w="1712"/>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GoApercu (hosting) with coordinator</w:t>
            </w:r>
          </w:p>
        </w:tc>
        <w:tc>
          <w:tcPr>
            <w:tcW w:type="dxa" w:w="1575"/>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AGREED — contingent on Annex C C07</w:t>
            </w:r>
          </w:p>
        </w:tc>
        <w:tc>
          <w:tcPr>
            <w:tcW w:type="dxa" w:w="3014"/>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Does the SleepFM licence extension permit EU-resident weight hosting on the terms assumed?</w:t>
            </w:r>
          </w:p>
        </w:tc>
        <w:tc>
          <w:tcPr>
            <w:tcW w:type="dxa" w:w="3069"/>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20" w:line="250"/>
            </w:pPr>
            <w:r>
              <w:rPr>
                <w:b w:val="false"/>
                <w:bCs w:val="false"/>
                <w:sz w:val="19"/>
                <w:szCs w:val="19"/>
              </w:rPr>
              <w:t xml:space="preserve">§3.4 (residency); Annex C C07; deck slide 10</w:t>
            </w:r>
          </w:p>
        </w:tc>
      </w:tr>
    </w:tbl>
    <w:p>
      <w:pPr>
        <w:spacing w:after="160"/>
      </w:pPr>
      <w:r>
        <w:t xml:space="preserve"/>
      </w:r>
    </w:p>
    <w:p>
      <w:pPr>
        <w:pStyle w:val="Heading2"/>
      </w:pPr>
      <w:r>
        <w:t xml:space="preserve">D.4 Submission gate</w:t>
      </w:r>
    </w:p>
    <w:p>
      <w:pPr>
        <w:spacing w:after="140" w:line="276"/>
      </w:pPr>
      <w:r>
        <w:rPr>
          <w:b/>
          <w:bCs/>
          <w:sz w:val="22"/>
          <w:szCs w:val="22"/>
        </w:rPr>
        <w:t xml:space="preserve">The proposal is not submitted while D02, D12 or D14 are unresolved in principle, because each affects the eligibility and lawfulness of the work as described rather than merely its execution. MS1 (M4) does not pass while D13 is open. WP4 does not start while D17 is open, since it depends on Annex C item C07. Every other row above is a project-execution obligation with a stated due month rather than a submission blocker.</w:t>
      </w:r>
    </w:p>
    <w:p>
      <w:pPr>
        <w:spacing w:after="140" w:line="276"/>
      </w:pPr>
      <w:r>
        <w:rPr>
          <w:sz w:val="22"/>
          <w:szCs w:val="22"/>
        </w:rPr>
        <w:t xml:space="preserve">Consolidated open questions for the consortium, in the order they must be answered: (1) MDR class under Rule 11 — IIa or IIb (D02); (2) provider of record under the AI Act (D07); (3) lawful basis at each retrospective imaging site (D12); (4) EU–US transfer mechanism (D14); (5) DPIA scope, one or many (D13); (6) whether imaging derivation can run in place (D15); (7) erasure handling for trained models (D16); (8) SleepFM residency terms (D17); (9) single or federated QMS (D04); (10) the pre-defined significant-change threshold (D05).</w:t>
      </w:r>
    </w:p>
    <w:sectPr>
      <w:headerReference w:type="default" r:id="rId9"/>
      <w:footerReference w:type="default" r:id="rId10"/>
      <w:type w:val="nextPage"/>
      <w:pgSz w:w="15840" w:h="12240" w:orient="landscape"/>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4" w:space="6"/>
      </w:pBdr>
      <w:tabs>
        <w:tab w:val="right" w:pos="9026"/>
      </w:tabs>
      <w:spacing w:after="200"/>
    </w:pPr>
    <w:r>
      <w:rPr>
        <w:color w:val="888888"/>
        <w:sz w:val="16"/>
        <w:szCs w:val="16"/>
      </w:rPr>
      <w:t xml:space="preserve">MVS-CARDIO · EIC Proposal Part B · Draft v1.2</w:t>
    </w:r>
    <w:r>
      <w:rPr>
        <w:color w:val="888888"/>
        <w:sz w:val="16"/>
        <w:szCs w:val="16"/>
      </w:rPr>
      <w:t xml:space="preserve">	AeroGlyphics · Medome · SOAP Health · GoApercu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4" w:space="6"/>
      </w:pBdr>
      <w:tabs>
        <w:tab w:val="right" w:pos="9026"/>
      </w:tabs>
      <w:spacing w:after="160"/>
    </w:pPr>
    <w:r>
      <w:rPr>
        <w:color w:val="888888"/>
        <w:sz w:val="16"/>
        <w:szCs w:val="16"/>
      </w:rPr>
      <w:t xml:space="preserve">MVS-CARDIO · Annex D · Compliance checklist</w:t>
    </w:r>
    <w:r>
      <w:rPr>
        <w:color w:val="888888"/>
        <w:sz w:val="16"/>
        <w:szCs w:val="16"/>
      </w:rPr>
      <w:t xml:space="preserve">	AeroGlyphics · Medome · SOAP Health · GoApercu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300"/>
      </w:pPr>
    </w:lvl>
  </w:abstractNum>
  <w:abstractNum w:abstractNumId="3" w15:restartNumberingAfterBreak="0">
    <w:multiLevelType w:val="hybridMultilevel"/>
    <w:lvl w:ilvl="0" w15:tentative="1">
      <w:start w:val="1"/>
      <w:numFmt w:val="decimal"/>
      <w:lvlText w:val="%1."/>
      <w:lvlJc w:val="left"/>
      <w:pPr>
        <w:ind w:left="48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11111"/>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11111"/>
      <w:sz w:val="26"/>
      <w:szCs w:val="26"/>
    </w:rPr>
  </w:style>
  <w:style w:type="paragraph" w:styleId="Heading3">
    <w:name w:val="Heading 3"/>
    <w:basedOn w:val="Normal"/>
    <w:next w:val="Normal"/>
    <w:qFormat/>
    <w:pPr>
      <w:spacing w:after="100" w:before="200"/>
      <w:outlineLvl w:val="2"/>
    </w:pPr>
    <w:rPr>
      <w:rFonts w:ascii="Arial" w:cs="Arial" w:eastAsia="Arial" w:hAnsi="Arial"/>
      <w:b/>
      <w:bCs/>
      <w:color w:val="0E5F55"/>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2026-07-30T20:53:17.840Z</dcterms:created>
  <dcterms:modified xsi:type="dcterms:W3CDTF">2026-07-30T20:53:17.841Z</dcterms:modified>
</cp:coreProperties>
</file>

<file path=docProps/custom.xml><?xml version="1.0" encoding="utf-8"?>
<Properties xmlns="http://schemas.openxmlformats.org/officeDocument/2006/custom-properties" xmlns:vt="http://schemas.openxmlformats.org/officeDocument/2006/docPropsVTypes"/>
</file>